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0F43BE" w14:textId="18DF1376" w:rsidR="002E6A2E" w:rsidRPr="001B450C" w:rsidRDefault="00906C16" w:rsidP="002E6A2E">
      <w:pPr>
        <w:pStyle w:val="Datum"/>
        <w:rPr>
          <w:vanish/>
        </w:rPr>
      </w:pPr>
      <w:r>
        <w:rPr>
          <w:vanish/>
        </w:rPr>
        <w:t>Nantes</w:t>
      </w:r>
      <w:r w:rsidR="002E6A2E">
        <w:rPr>
          <w:vanish/>
        </w:rPr>
        <w:t>, le</w:t>
      </w:r>
      <w:r>
        <w:rPr>
          <w:vanish/>
        </w:rPr>
        <w:t xml:space="preserve"> 1</w:t>
      </w:r>
      <w:r w:rsidRPr="00906C16">
        <w:rPr>
          <w:vanish/>
          <w:vertAlign w:val="superscript"/>
        </w:rPr>
        <w:t>er</w:t>
      </w:r>
      <w:r>
        <w:rPr>
          <w:vanish/>
        </w:rPr>
        <w:t xml:space="preserve"> juin</w:t>
      </w:r>
      <w:r w:rsidR="002E6A2E">
        <w:rPr>
          <w:vanish/>
        </w:rPr>
        <w:t xml:space="preserve"> 2022</w:t>
      </w:r>
    </w:p>
    <w:p w14:paraId="6CA699E6" w14:textId="77777777" w:rsidR="002E6A2E" w:rsidRPr="002E6A2E" w:rsidRDefault="002E6A2E" w:rsidP="002E6A2E">
      <w:pPr>
        <w:pStyle w:val="berschrift3"/>
        <w:rPr>
          <w:iCs/>
        </w:rPr>
      </w:pPr>
      <w:r>
        <w:t>Propositions de construction GUTEX</w:t>
      </w:r>
    </w:p>
    <w:p w14:paraId="4E6B1081" w14:textId="77777777" w:rsidR="002E6A2E" w:rsidRPr="002E6A2E" w:rsidRDefault="002E6A2E" w:rsidP="002E6A2E">
      <w:pPr>
        <w:pStyle w:val="berschrift4"/>
      </w:pPr>
      <w:r>
        <w:t>L'aide à la planification pratique pour les systèmes d'isolation écologiques</w:t>
      </w:r>
    </w:p>
    <w:p w14:paraId="7C64F9C1" w14:textId="77777777" w:rsidR="002E6A2E" w:rsidRPr="002E6A2E" w:rsidRDefault="002E6A2E" w:rsidP="19F5B6E7">
      <w:pPr>
        <w:pStyle w:val="berschrift4"/>
        <w:jc w:val="both"/>
        <w:rPr>
          <w:rFonts w:eastAsiaTheme="minorEastAsia" w:cs="Times New Roman (Textkörper CS)"/>
          <w:i/>
          <w:sz w:val="20"/>
          <w:szCs w:val="20"/>
        </w:rPr>
      </w:pPr>
      <w:r>
        <w:rPr>
          <w:i/>
          <w:sz w:val="20"/>
          <w:szCs w:val="20"/>
        </w:rPr>
        <w:t xml:space="preserve">Qu'il s'agisse d'une construction neuve ou d'une rénovation, une planification minutieuse est nécessaire pour réaliser une isolation efficace et durable d’un bâtiment. Outre les exigences énergétiques fixées par la réglementation RE2020 pour une protection efficace contre le froid et la chaleur, il est également nécessaire de prendre en compte des critères de protection contre le bruit et l'incendie. De plus, en fonction du type de bâtiment, du domaine d'application et de la zone climatique, il existe une multitude de possibilités de construction des différents éléments. Afin de faciliter la recherche de la solution optimale, le fabricant d'isolants en fibres de bois GUTEX propose désormais une aide à la planification pratique avec la nouvelle brochure « Propositions de construction ». Cet ouvrage de référence complet simplifie le processus de planification, du choix de l'isolant approprié </w:t>
      </w:r>
      <w:r w:rsidRPr="00F019B9">
        <w:rPr>
          <w:i/>
          <w:sz w:val="20"/>
          <w:szCs w:val="20"/>
        </w:rPr>
        <w:t>aux schémas détaillés de la structure de construction recommandée</w:t>
      </w:r>
      <w:r>
        <w:rPr>
          <w:i/>
          <w:sz w:val="20"/>
          <w:szCs w:val="20"/>
        </w:rPr>
        <w:t xml:space="preserve"> – que ce soit pour la toiture, les murs, le sol ou le plafond. </w:t>
      </w:r>
    </w:p>
    <w:p w14:paraId="48CE5999" w14:textId="77777777" w:rsidR="002E6A2E" w:rsidRPr="002E6A2E" w:rsidRDefault="002E6A2E" w:rsidP="002E6A2E">
      <w:pPr>
        <w:pStyle w:val="berschrift5"/>
        <w:jc w:val="both"/>
      </w:pPr>
      <w:r>
        <w:t>Un concentré de compétences dans un guide pratique</w:t>
      </w:r>
    </w:p>
    <w:p w14:paraId="2F501F6B" w14:textId="1964F7EB" w:rsidR="002E6A2E" w:rsidRPr="002E6A2E" w:rsidRDefault="002E6A2E" w:rsidP="1A79C0C2">
      <w:pPr>
        <w:pStyle w:val="berschrift4"/>
        <w:jc w:val="both"/>
        <w:rPr>
          <w:rFonts w:eastAsiaTheme="minorEastAsia" w:cs="Times New Roman (Textkörper CS)"/>
          <w:b w:val="0"/>
          <w:sz w:val="20"/>
          <w:szCs w:val="20"/>
        </w:rPr>
      </w:pPr>
      <w:r>
        <w:rPr>
          <w:b w:val="0"/>
          <w:sz w:val="20"/>
          <w:szCs w:val="20"/>
        </w:rPr>
        <w:t>Avec sa nouvelle publication « Propositions de construction », GUTEX met à la disposition des planificateurs, des architectes et des poseurs un guide clair, axé sur les applications, pour réaliser une isolation avec des matériaux isolants en fibres de bois. « En tant que spécialiste des solutions système, GUTEX développe des solutions d'isolation durables en étroite concertation avec le terrain », explique Imed Bouslah, directeur des ventes de GUTEX France. « Cette approche fait partie de l'ADN de l'entreprise depuis maintenant 90 ans, de sorte que nous savons traduire les avantages de la matière première naturelle qu'est le bois en applications adaptées au marché, fruit d'une expérience de plusieurs dizaines d’années. Nos propositions de construction transmettent désormais cette compétence sous la forme d'un ouvrage de référence compact ».</w:t>
      </w:r>
    </w:p>
    <w:p w14:paraId="2FD227BC" w14:textId="77777777" w:rsidR="002E6A2E" w:rsidRPr="002E6A2E" w:rsidRDefault="002E6A2E" w:rsidP="002E6A2E">
      <w:pPr>
        <w:pStyle w:val="berschrift5"/>
      </w:pPr>
      <w:r>
        <w:lastRenderedPageBreak/>
        <w:t>Une solution adaptée à chaque application</w:t>
      </w:r>
    </w:p>
    <w:p w14:paraId="2C4B254C" w14:textId="1C585DE1" w:rsidR="002E6A2E" w:rsidRPr="00EA6438" w:rsidRDefault="002E6A2E" w:rsidP="002E6A2E">
      <w:pPr>
        <w:rPr>
          <w:rFonts w:eastAsiaTheme="minorEastAsia"/>
          <w:iCs/>
          <w:szCs w:val="20"/>
        </w:rPr>
      </w:pPr>
      <w:r>
        <w:t xml:space="preserve">Le guide complet « Propositions de construction » oriente l’utilisateur qui pourra trouver dans le portefeuille varié de GUTEX la solution d'isolation optimale et l’appliquer. Celui-ci comprend des produits d'isolation écologiques pour l'ensemble de l'enveloppe du bâtiment – de l'ITE écologique pour la façade ou comme isolation murale pour les façades ventilées, à l'isolation de la toiture ou entre structures, en passant par des panneaux de sous-toiture pare-pluie pour les planchers, jusqu'à l'isolation intérieure. Toutes les solutions ont une chose en commun : elles misent sur les propriétés naturelles du bois qui profitent à la fois à l'environnement et à l'Homme. La faible conductivité thermique et la capacité de sorption naturelle des produits isolants assurent une protection fiable contre le froid et la chaleur ainsi qu'un confort d'habitation sain dans chaque partie de l'enveloppe du bâtiment. Les propositions de construction ne montrent pas seulement comment utiliser de manière optimale les isolants GUTEX dans les éléments de construction correspondants. Elles fournissent également pour chaque application les données en matière de physique du bâtiment et les calculs de changement de phase, les valeurs d'isolation acoustique et les </w:t>
      </w:r>
      <w:r w:rsidR="00B370D5">
        <w:t>valeurs U</w:t>
      </w:r>
      <w:r>
        <w:t xml:space="preserve"> avec différentes épaisseurs d'isolant. </w:t>
      </w:r>
    </w:p>
    <w:p w14:paraId="59E2B1D2" w14:textId="77777777" w:rsidR="002E6A2E" w:rsidRPr="00EA6438" w:rsidRDefault="002E6A2E" w:rsidP="002E6A2E">
      <w:pPr>
        <w:rPr>
          <w:rFonts w:eastAsiaTheme="minorEastAsia"/>
          <w:iCs/>
          <w:szCs w:val="20"/>
        </w:rPr>
      </w:pPr>
    </w:p>
    <w:p w14:paraId="68CC9DA1" w14:textId="77777777" w:rsidR="002E6A2E" w:rsidRPr="002E6A2E" w:rsidRDefault="002E6A2E" w:rsidP="002E6A2E">
      <w:pPr>
        <w:pStyle w:val="berschrift5"/>
      </w:pPr>
      <w:r>
        <w:t>Une isolation durable en toute simplicité</w:t>
      </w:r>
    </w:p>
    <w:p w14:paraId="0CC80940" w14:textId="408A8967" w:rsidR="002E6A2E" w:rsidRPr="002E6A2E" w:rsidRDefault="002E6A2E" w:rsidP="19F5B6E7">
      <w:pPr>
        <w:pStyle w:val="berschrift4"/>
        <w:jc w:val="both"/>
        <w:rPr>
          <w:rFonts w:eastAsiaTheme="minorEastAsia" w:cs="Times New Roman (Textkörper CS)"/>
          <w:b w:val="0"/>
          <w:sz w:val="20"/>
          <w:szCs w:val="20"/>
        </w:rPr>
      </w:pPr>
      <w:r>
        <w:rPr>
          <w:b w:val="0"/>
          <w:sz w:val="20"/>
          <w:szCs w:val="20"/>
        </w:rPr>
        <w:t>Avec ses propositions de construction, GUTEX facilite la planification de tous les projets de rénovation et de construction neuve qui misent sur une isolation durable à base d’isolants en fibres de bois. Les constructions adaptées sont clairement résumées pour différents domaines d'application dans une brochure qui se présente comme un ouvrage de référence</w:t>
      </w:r>
      <w:r w:rsidR="00F019B9">
        <w:rPr>
          <w:b w:val="0"/>
          <w:sz w:val="20"/>
          <w:szCs w:val="20"/>
        </w:rPr>
        <w:t xml:space="preserve"> </w:t>
      </w:r>
      <w:r>
        <w:rPr>
          <w:b w:val="0"/>
          <w:sz w:val="20"/>
          <w:szCs w:val="20"/>
        </w:rPr>
        <w:t xml:space="preserve">et sont accompagnées des valeurs correspondantes en matière de physique du bâtiment.  Ainsi, l'isolation du sol au toit répond aux exigences les plus élevées en matière de durabilité, d'efficacité énergétique et de confort de vie. Outre la brochure, qui peut être téléchargée directement via </w:t>
      </w:r>
      <w:hyperlink r:id="rId11">
        <w:r>
          <w:rPr>
            <w:color w:val="FF0000"/>
            <w:sz w:val="20"/>
            <w:szCs w:val="20"/>
            <w:u w:val="single"/>
          </w:rPr>
          <w:t>ce lien</w:t>
        </w:r>
      </w:hyperlink>
      <w:r>
        <w:rPr>
          <w:b w:val="0"/>
          <w:sz w:val="20"/>
          <w:szCs w:val="20"/>
        </w:rPr>
        <w:t xml:space="preserve">, le </w:t>
      </w:r>
      <w:hyperlink r:id="rId12">
        <w:r>
          <w:rPr>
            <w:color w:val="FF0000"/>
            <w:sz w:val="20"/>
            <w:szCs w:val="20"/>
            <w:u w:val="single"/>
          </w:rPr>
          <w:t>moteur de recherche de constructions en ligne</w:t>
        </w:r>
      </w:hyperlink>
      <w:r>
        <w:rPr>
          <w:sz w:val="20"/>
          <w:szCs w:val="20"/>
        </w:rPr>
        <w:t xml:space="preserve"> </w:t>
      </w:r>
      <w:r>
        <w:rPr>
          <w:b w:val="0"/>
          <w:sz w:val="20"/>
          <w:szCs w:val="20"/>
        </w:rPr>
        <w:t>de GUTEX met également à disposition des schémas détaillés à télécharger en trois étapes seulement. Ceux-ci peuvent être vérifiés et adaptés à un projet concret ou spécifiés lors d'un entretien de conseil individuel avec l'équipe technique compétente de GUTEX.</w:t>
      </w:r>
    </w:p>
    <w:p w14:paraId="711794F8" w14:textId="77777777" w:rsidR="002E6A2E" w:rsidRPr="00EC328D" w:rsidRDefault="002E6A2E" w:rsidP="002E6A2E"/>
    <w:p w14:paraId="30BADB31" w14:textId="77777777" w:rsidR="002E6A2E" w:rsidRPr="00EC328D" w:rsidRDefault="002E6A2E" w:rsidP="002E6A2E">
      <w:pPr>
        <w:spacing w:after="0" w:line="240" w:lineRule="auto"/>
        <w:jc w:val="left"/>
      </w:pPr>
      <w:r>
        <w:br w:type="page"/>
      </w:r>
    </w:p>
    <w:p w14:paraId="0B77AC43" w14:textId="77777777" w:rsidR="002E6A2E" w:rsidRPr="00EC328D" w:rsidRDefault="002E6A2E" w:rsidP="002E6A2E">
      <w:pPr>
        <w:pStyle w:val="berschrift5"/>
      </w:pPr>
      <w:r>
        <w:lastRenderedPageBreak/>
        <w:t>Illustrations</w:t>
      </w:r>
    </w:p>
    <w:p w14:paraId="0918486E" w14:textId="77777777" w:rsidR="002E6A2E" w:rsidRDefault="002E6A2E" w:rsidP="002E6A2E">
      <w:r>
        <w:rPr>
          <w:noProof/>
          <w:color w:val="2B579A"/>
          <w:szCs w:val="20"/>
          <w:shd w:val="clear" w:color="auto" w:fill="E6E6E6"/>
        </w:rPr>
        <w:drawing>
          <wp:anchor distT="0" distB="0" distL="114300" distR="114300" simplePos="0" relativeHeight="251663360" behindDoc="1" locked="0" layoutInCell="1" allowOverlap="1" wp14:anchorId="4EC0526D" wp14:editId="4326F22B">
            <wp:simplePos x="0" y="0"/>
            <wp:positionH relativeFrom="column">
              <wp:posOffset>635</wp:posOffset>
            </wp:positionH>
            <wp:positionV relativeFrom="paragraph">
              <wp:posOffset>62230</wp:posOffset>
            </wp:positionV>
            <wp:extent cx="2105025" cy="2867025"/>
            <wp:effectExtent l="12700" t="12700" r="15875" b="15875"/>
            <wp:wrapTight wrapText="bothSides">
              <wp:wrapPolygon edited="0">
                <wp:start x="-130" y="-96"/>
                <wp:lineTo x="-130" y="21624"/>
                <wp:lineTo x="21633" y="21624"/>
                <wp:lineTo x="21633" y="-96"/>
                <wp:lineTo x="-130" y="-96"/>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rotWithShape="1">
                    <a:blip r:embed="rId13" cstate="email">
                      <a:extLst>
                        <a:ext uri="{28A0092B-C50C-407E-A947-70E740481C1C}">
                          <a14:useLocalDpi xmlns:a14="http://schemas.microsoft.com/office/drawing/2010/main"/>
                        </a:ext>
                      </a:extLst>
                    </a:blip>
                    <a:srcRect/>
                    <a:stretch/>
                  </pic:blipFill>
                  <pic:spPr bwMode="auto">
                    <a:xfrm>
                      <a:off x="0" y="0"/>
                      <a:ext cx="2105025" cy="2867025"/>
                    </a:xfrm>
                    <a:prstGeom prst="rect">
                      <a:avLst/>
                    </a:prstGeom>
                    <a:ln w="317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Fig. 1</w:t>
      </w:r>
    </w:p>
    <w:p w14:paraId="039F5F62" w14:textId="5187B834" w:rsidR="002E6A2E" w:rsidRPr="00833018" w:rsidRDefault="002E6A2E" w:rsidP="002E6A2E">
      <w:r>
        <w:t xml:space="preserve">Avec ses nouvelles propositions de construction, le fabricant d’isolants GUTEX facilite la mise en œuvre d'une isolation durable des bâtiments pour les architectes, les planificateurs et les poseurs. L'ouvrage de référence peut être commandé sous forme de brochure imprimée et peut être utilisé gratuitement en combinaison avec le moteur de recherche de constructions en ligne sur </w:t>
      </w:r>
      <w:hyperlink r:id="rId14">
        <w:r>
          <w:rPr>
            <w:rStyle w:val="Hyperlink"/>
          </w:rPr>
          <w:t>www.gutex.fr/</w:t>
        </w:r>
      </w:hyperlink>
    </w:p>
    <w:p w14:paraId="141AE7A7" w14:textId="77777777" w:rsidR="002E6A2E" w:rsidRPr="00736029" w:rsidRDefault="002E6A2E" w:rsidP="002E6A2E">
      <w:pPr>
        <w:jc w:val="left"/>
      </w:pPr>
      <w:r>
        <w:t>Photo : GUTEX</w:t>
      </w:r>
    </w:p>
    <w:p w14:paraId="6735BC38" w14:textId="77777777" w:rsidR="002E6A2E" w:rsidRDefault="002E6A2E" w:rsidP="002E6A2E">
      <w:pPr>
        <w:rPr>
          <w:rFonts w:eastAsia="Calibri"/>
          <w:szCs w:val="20"/>
        </w:rPr>
      </w:pPr>
    </w:p>
    <w:p w14:paraId="1382A649" w14:textId="77777777" w:rsidR="002E6A2E" w:rsidRPr="00246ACE" w:rsidRDefault="002E6A2E" w:rsidP="002E6A2E">
      <w:pPr>
        <w:tabs>
          <w:tab w:val="left" w:pos="1422"/>
        </w:tabs>
        <w:rPr>
          <w:rFonts w:eastAsia="Calibri"/>
          <w:sz w:val="18"/>
          <w:szCs w:val="18"/>
        </w:rPr>
      </w:pPr>
      <w:r>
        <w:tab/>
      </w:r>
    </w:p>
    <w:p w14:paraId="1631EE40" w14:textId="77777777" w:rsidR="002E6A2E" w:rsidRDefault="002E6A2E" w:rsidP="002E6A2E">
      <w:pPr>
        <w:rPr>
          <w:rFonts w:eastAsia="Calibri"/>
          <w:szCs w:val="20"/>
        </w:rPr>
      </w:pPr>
    </w:p>
    <w:p w14:paraId="148DDBC7" w14:textId="77777777" w:rsidR="002E6A2E" w:rsidRDefault="002E6A2E" w:rsidP="002E6A2E">
      <w:pPr>
        <w:rPr>
          <w:rFonts w:eastAsia="Calibri"/>
          <w:szCs w:val="20"/>
        </w:rPr>
      </w:pPr>
    </w:p>
    <w:p w14:paraId="2135228F" w14:textId="77777777" w:rsidR="002E6A2E" w:rsidRPr="00833018" w:rsidRDefault="002E6A2E" w:rsidP="002E6A2E">
      <w:pPr>
        <w:rPr>
          <w:rFonts w:eastAsia="Calibri"/>
          <w:szCs w:val="20"/>
        </w:rPr>
      </w:pPr>
    </w:p>
    <w:p w14:paraId="0E7B8372" w14:textId="77777777" w:rsidR="002E6A2E" w:rsidRPr="00C325D3" w:rsidRDefault="002E6A2E" w:rsidP="002E6A2E">
      <w:r>
        <w:rPr>
          <w:noProof/>
          <w:color w:val="2B579A"/>
          <w:shd w:val="clear" w:color="auto" w:fill="E6E6E6"/>
        </w:rPr>
        <w:drawing>
          <wp:anchor distT="0" distB="0" distL="114300" distR="114300" simplePos="0" relativeHeight="251662336" behindDoc="0" locked="0" layoutInCell="1" allowOverlap="1" wp14:anchorId="48253BE7" wp14:editId="5777F66A">
            <wp:simplePos x="0" y="0"/>
            <wp:positionH relativeFrom="column">
              <wp:posOffset>59690</wp:posOffset>
            </wp:positionH>
            <wp:positionV relativeFrom="paragraph">
              <wp:posOffset>64979</wp:posOffset>
            </wp:positionV>
            <wp:extent cx="2828290" cy="1590675"/>
            <wp:effectExtent l="0" t="0" r="3810" b="0"/>
            <wp:wrapTight wrapText="bothSides">
              <wp:wrapPolygon edited="0">
                <wp:start x="0" y="0"/>
                <wp:lineTo x="0" y="21384"/>
                <wp:lineTo x="21532" y="21384"/>
                <wp:lineTo x="21532" y="0"/>
                <wp:lineTo x="0" y="0"/>
              </wp:wrapPolygon>
            </wp:wrapTight>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2"/>
                    <pic:cNvPicPr>
                      <a:picLocks noChangeAspect="1" noChangeArrowheads="1"/>
                    </pic:cNvPicPr>
                  </pic:nvPicPr>
                  <pic:blipFill>
                    <a:blip r:embed="rId15" cstate="email">
                      <a:extLst>
                        <a:ext uri="{28A0092B-C50C-407E-A947-70E740481C1C}">
                          <a14:useLocalDpi xmlns:a14="http://schemas.microsoft.com/office/drawing/2010/main"/>
                        </a:ext>
                      </a:extLst>
                    </a:blip>
                    <a:stretch>
                      <a:fillRect/>
                    </a:stretch>
                  </pic:blipFill>
                  <pic:spPr bwMode="auto">
                    <a:xfrm>
                      <a:off x="0" y="0"/>
                      <a:ext cx="2828290" cy="159067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ask="http://schemas.microsoft.com/office/drawing/2018/sketchyshapes"/>
                      </a:ext>
                    </a:extLst>
                  </pic:spPr>
                </pic:pic>
              </a:graphicData>
            </a:graphic>
            <wp14:sizeRelH relativeFrom="page">
              <wp14:pctWidth>0</wp14:pctWidth>
            </wp14:sizeRelH>
            <wp14:sizeRelV relativeFrom="page">
              <wp14:pctHeight>0</wp14:pctHeight>
            </wp14:sizeRelV>
          </wp:anchor>
        </w:drawing>
      </w:r>
      <w:r>
        <w:t xml:space="preserve">Fig. 2 </w:t>
      </w:r>
    </w:p>
    <w:p w14:paraId="2DA930C2" w14:textId="43F72FF3" w:rsidR="002E6A2E" w:rsidRPr="00C325D3" w:rsidRDefault="002E6A2E" w:rsidP="00B370D5">
      <w:pPr>
        <w:jc w:val="left"/>
        <w:rPr>
          <w:szCs w:val="20"/>
        </w:rPr>
      </w:pPr>
      <w:r>
        <w:t>Qu'il s'agisse d'une construction neuve ou d'une rénovation, d'un toit plat ou d'une toiture inclinée, d'un mur extérieur ou d'un plafond, les propositions de construction de GUTEX permettent de trouver en un clin d’œil les détails de planification utiles pour toutes les structures de construction.</w:t>
      </w:r>
      <w:r w:rsidR="00B370D5">
        <w:br/>
      </w:r>
      <w:r>
        <w:t>Photo :  GUTEX / Vincent Garcin</w:t>
      </w:r>
    </w:p>
    <w:p w14:paraId="0E7D8B64" w14:textId="77777777" w:rsidR="001B5B11" w:rsidRPr="00EF505A" w:rsidRDefault="001B5B11" w:rsidP="000F73E5"/>
    <w:p w14:paraId="015933FA" w14:textId="77777777" w:rsidR="001B5B11" w:rsidRPr="00E214A5" w:rsidRDefault="001B5B11" w:rsidP="000F73E5">
      <w:pPr>
        <w:pStyle w:val="berschrift5"/>
        <w:rPr>
          <w:rFonts w:ascii="Lato" w:hAnsi="Lato"/>
          <w:bCs/>
          <w:iCs/>
          <w:szCs w:val="20"/>
        </w:rPr>
      </w:pPr>
      <w:r w:rsidRPr="00E214A5">
        <w:rPr>
          <w:rFonts w:ascii="Lato" w:hAnsi="Lato"/>
          <w:bCs/>
          <w:iCs/>
          <w:szCs w:val="20"/>
        </w:rPr>
        <w:t>Profil de l'entreprise</w:t>
      </w:r>
    </w:p>
    <w:p w14:paraId="6714ED12" w14:textId="16491EF2" w:rsidR="009F0939" w:rsidRPr="00E214A5" w:rsidRDefault="006F5767" w:rsidP="000F73E5">
      <w:pPr>
        <w:rPr>
          <w:rFonts w:eastAsiaTheme="majorEastAsia" w:cstheme="majorBidi"/>
          <w:iCs/>
          <w:szCs w:val="20"/>
        </w:rPr>
      </w:pPr>
      <w:r w:rsidRPr="00E214A5">
        <w:rPr>
          <w:rFonts w:eastAsiaTheme="majorEastAsia" w:cstheme="majorBidi"/>
          <w:iCs/>
          <w:szCs w:val="20"/>
        </w:rPr>
        <w:t>GUTEX est le pionnier de l'isolation écologique en Europe. Cette entreprise familiale établie en Forêt-Noire, dans la région transfrontalière Allemagne-France-Suisse, a débuté la production d’isolants en fibres de bois dès 1932. Le bois utilisé est issu de forêts gérées de façon durable à proximité de l'usine GUTEX. Si l'origine de la matière première n'a pas changé, les produits et les techniques d’application sont en revanche continuellement optimisés. Aujourd'hui, GUTEX offre des solutions d'isolation sophistiquées pour le toit, les façades et l'intérieur. Elles séduisent par leur qualité durable, leur performance énergétique et le climat ambiant sain qu'elles instaurent. Ces qualités sont également confirmées par le label natureplus® reconnu pour les matériaux de construction sains, le certificat PEFC attestant d’une exploitation forestière durable et la certification EMAS qui témoigne d’une gestion environnementale exemplaire. Les certifications volontaires KEYMARK et ACERMI démontrent quant à elles la qualité technique élevée des produits en toute transparence pour les concepteurs et les utilisateurs.</w:t>
      </w:r>
    </w:p>
    <w:p w14:paraId="0E34E02A" w14:textId="77777777" w:rsidR="006F5767" w:rsidRPr="00E214A5" w:rsidRDefault="006F5767" w:rsidP="000F73E5">
      <w:pPr>
        <w:rPr>
          <w:rFonts w:eastAsiaTheme="majorEastAsia" w:cstheme="majorBidi"/>
          <w:iCs/>
          <w:szCs w:val="20"/>
        </w:rPr>
      </w:pPr>
    </w:p>
    <w:p w14:paraId="28D7BF15" w14:textId="77777777" w:rsidR="00970C4C" w:rsidRPr="00E214A5" w:rsidRDefault="00661784" w:rsidP="000F73E5">
      <w:pPr>
        <w:rPr>
          <w:rFonts w:eastAsiaTheme="majorEastAsia" w:cstheme="majorBidi"/>
          <w:iCs/>
          <w:szCs w:val="20"/>
          <w:u w:val="single"/>
        </w:rPr>
      </w:pPr>
      <w:hyperlink r:id="rId16" w:history="1">
        <w:r w:rsidR="001B450C" w:rsidRPr="00E214A5">
          <w:rPr>
            <w:rFonts w:eastAsiaTheme="majorEastAsia" w:cstheme="majorBidi"/>
            <w:iCs/>
            <w:szCs w:val="20"/>
            <w:u w:val="single"/>
          </w:rPr>
          <w:t>Cliquez ici pour té</w:t>
        </w:r>
        <w:r w:rsidR="001B450C" w:rsidRPr="00E214A5">
          <w:rPr>
            <w:rFonts w:eastAsiaTheme="majorEastAsia" w:cstheme="majorBidi"/>
            <w:iCs/>
            <w:szCs w:val="20"/>
            <w:u w:val="single"/>
          </w:rPr>
          <w:t>l</w:t>
        </w:r>
        <w:r w:rsidR="001B450C" w:rsidRPr="00E214A5">
          <w:rPr>
            <w:rFonts w:eastAsiaTheme="majorEastAsia" w:cstheme="majorBidi"/>
            <w:iCs/>
            <w:szCs w:val="20"/>
            <w:u w:val="single"/>
          </w:rPr>
          <w:t>écharger ce communiqué de presse.</w:t>
        </w:r>
      </w:hyperlink>
    </w:p>
    <w:p w14:paraId="77CA3F8C" w14:textId="77777777" w:rsidR="00C10AB3" w:rsidRPr="00E214A5" w:rsidRDefault="001B5B11" w:rsidP="000F73E5">
      <w:pPr>
        <w:rPr>
          <w:rFonts w:eastAsiaTheme="majorEastAsia" w:cstheme="majorBidi"/>
          <w:iCs/>
          <w:szCs w:val="20"/>
        </w:rPr>
      </w:pPr>
      <w:r w:rsidRPr="00E214A5">
        <w:rPr>
          <w:rFonts w:eastAsiaTheme="majorEastAsia" w:cstheme="majorBidi"/>
          <w:iCs/>
          <w:szCs w:val="20"/>
        </w:rPr>
        <w:t xml:space="preserve">Pour de plus amples informations sur l’entreprise et les produits, consultez le site Internet : </w:t>
      </w:r>
      <w:hyperlink r:id="rId17" w:history="1">
        <w:r w:rsidRPr="00E214A5">
          <w:rPr>
            <w:rFonts w:eastAsiaTheme="majorEastAsia" w:cstheme="majorBidi"/>
            <w:iCs/>
            <w:szCs w:val="20"/>
            <w:u w:val="single"/>
          </w:rPr>
          <w:t>www.gutex.fr</w:t>
        </w:r>
      </w:hyperlink>
    </w:p>
    <w:p w14:paraId="24F4E389" w14:textId="77777777" w:rsidR="003557E9" w:rsidRPr="00E214A5" w:rsidRDefault="003557E9" w:rsidP="000F73E5">
      <w:pPr>
        <w:rPr>
          <w:rFonts w:eastAsiaTheme="majorEastAsia" w:cstheme="majorBidi"/>
          <w:iCs/>
          <w:szCs w:val="20"/>
        </w:rPr>
      </w:pPr>
    </w:p>
    <w:p w14:paraId="61C9B40B" w14:textId="77777777" w:rsidR="000F73E5" w:rsidRPr="00E214A5" w:rsidRDefault="000F73E5" w:rsidP="000F73E5">
      <w:pPr>
        <w:rPr>
          <w:rFonts w:eastAsiaTheme="majorEastAsia" w:cstheme="majorBidi"/>
          <w:iCs/>
          <w:szCs w:val="20"/>
        </w:rPr>
      </w:pPr>
    </w:p>
    <w:p w14:paraId="120CE975" w14:textId="77777777" w:rsidR="009F0939" w:rsidRPr="00E214A5" w:rsidRDefault="001B5B11" w:rsidP="000F73E5">
      <w:pPr>
        <w:pStyle w:val="berschrift4"/>
        <w:rPr>
          <w:bCs/>
          <w:sz w:val="28"/>
          <w:szCs w:val="28"/>
        </w:rPr>
      </w:pPr>
      <w:r w:rsidRPr="00E214A5">
        <w:rPr>
          <w:bCs/>
          <w:sz w:val="28"/>
          <w:szCs w:val="28"/>
        </w:rPr>
        <w:t>Pour toutes questions, s’adresser à</w:t>
      </w:r>
    </w:p>
    <w:p w14:paraId="1464F0B8" w14:textId="7FC4BA85" w:rsidR="00216569" w:rsidRPr="00E214A5" w:rsidRDefault="009F0939" w:rsidP="00357AA3">
      <w:pPr>
        <w:pStyle w:val="Kontakt"/>
        <w:rPr>
          <w:rFonts w:eastAsiaTheme="majorEastAsia" w:cstheme="majorBidi"/>
          <w:iCs/>
          <w:szCs w:val="20"/>
        </w:rPr>
      </w:pPr>
      <w:r w:rsidRPr="00E214A5">
        <w:rPr>
          <w:rFonts w:eastAsiaTheme="majorEastAsia" w:cstheme="majorBidi"/>
          <w:b/>
          <w:bCs/>
          <w:iCs/>
          <w:szCs w:val="20"/>
        </w:rPr>
        <w:t>GUTEX France</w:t>
      </w:r>
      <w:r w:rsidRPr="00E214A5">
        <w:rPr>
          <w:rFonts w:eastAsiaTheme="majorEastAsia" w:cstheme="majorBidi"/>
          <w:b/>
          <w:bCs/>
          <w:iCs/>
          <w:szCs w:val="20"/>
        </w:rPr>
        <w:tab/>
      </w:r>
      <w:r w:rsidRPr="00E214A5">
        <w:rPr>
          <w:rFonts w:eastAsiaTheme="majorEastAsia" w:cstheme="majorBidi"/>
          <w:b/>
          <w:bCs/>
          <w:iCs/>
          <w:szCs w:val="20"/>
        </w:rPr>
        <w:tab/>
        <w:t>mai public relations</w:t>
      </w:r>
      <w:r w:rsidRPr="00E214A5">
        <w:rPr>
          <w:rFonts w:eastAsiaTheme="majorEastAsia" w:cstheme="majorBidi"/>
          <w:iCs/>
          <w:szCs w:val="20"/>
        </w:rPr>
        <w:br/>
        <w:t>Imed Bouslah</w:t>
      </w:r>
      <w:r w:rsidRPr="00E214A5">
        <w:rPr>
          <w:rFonts w:eastAsiaTheme="majorEastAsia" w:cstheme="majorBidi"/>
          <w:iCs/>
          <w:szCs w:val="20"/>
        </w:rPr>
        <w:tab/>
        <w:t>Arno Heitland</w:t>
      </w:r>
      <w:r w:rsidRPr="00E214A5">
        <w:rPr>
          <w:rFonts w:eastAsiaTheme="majorEastAsia" w:cstheme="majorBidi"/>
          <w:iCs/>
          <w:szCs w:val="20"/>
        </w:rPr>
        <w:br/>
        <w:t>Directeur des ventes</w:t>
      </w:r>
      <w:r w:rsidRPr="00E214A5">
        <w:rPr>
          <w:rFonts w:eastAsiaTheme="majorEastAsia" w:cstheme="majorBidi"/>
          <w:iCs/>
          <w:szCs w:val="20"/>
        </w:rPr>
        <w:tab/>
        <w:t>PR Consultant France</w:t>
      </w:r>
      <w:r w:rsidRPr="00E214A5">
        <w:rPr>
          <w:rFonts w:eastAsiaTheme="majorEastAsia" w:cstheme="majorBidi"/>
          <w:iCs/>
          <w:szCs w:val="20"/>
        </w:rPr>
        <w:br/>
      </w:r>
      <w:hyperlink r:id="rId18" w:history="1">
        <w:r w:rsidR="00C425A8" w:rsidRPr="00E214A5">
          <w:rPr>
            <w:rFonts w:eastAsiaTheme="majorEastAsia" w:cstheme="majorBidi"/>
            <w:iCs/>
            <w:szCs w:val="20"/>
          </w:rPr>
          <w:t>imed.bouslah@gutex.fr</w:t>
        </w:r>
      </w:hyperlink>
      <w:r w:rsidRPr="00E214A5">
        <w:rPr>
          <w:rFonts w:eastAsiaTheme="majorEastAsia" w:cstheme="majorBidi"/>
          <w:iCs/>
          <w:szCs w:val="20"/>
        </w:rPr>
        <w:tab/>
      </w:r>
      <w:hyperlink r:id="rId19" w:history="1">
        <w:r w:rsidRPr="00E214A5">
          <w:rPr>
            <w:rFonts w:eastAsiaTheme="majorEastAsia" w:cstheme="majorBidi"/>
            <w:iCs/>
            <w:szCs w:val="20"/>
          </w:rPr>
          <w:t>gutex@maipr.com</w:t>
        </w:r>
      </w:hyperlink>
      <w:r w:rsidRPr="00E214A5">
        <w:rPr>
          <w:rFonts w:eastAsiaTheme="majorEastAsia" w:cstheme="majorBidi"/>
          <w:iCs/>
          <w:szCs w:val="20"/>
        </w:rPr>
        <w:br/>
        <w:t>+</w:t>
      </w:r>
      <w:r w:rsidR="00C425A8" w:rsidRPr="00E214A5">
        <w:rPr>
          <w:rFonts w:eastAsiaTheme="majorEastAsia" w:cstheme="majorBidi"/>
          <w:iCs/>
          <w:szCs w:val="20"/>
        </w:rPr>
        <w:t>49 162 2650 261</w:t>
      </w:r>
      <w:r w:rsidRPr="00E214A5">
        <w:rPr>
          <w:rFonts w:eastAsiaTheme="majorEastAsia" w:cstheme="majorBidi"/>
          <w:iCs/>
          <w:szCs w:val="20"/>
        </w:rPr>
        <w:tab/>
        <w:t>+49 30 664040-553</w:t>
      </w:r>
    </w:p>
    <w:p w14:paraId="7F7373B2" w14:textId="77777777" w:rsidR="004C53F2" w:rsidRPr="00E214A5" w:rsidRDefault="004C53F2" w:rsidP="00EF505A">
      <w:pPr>
        <w:pStyle w:val="KeinLeerraum"/>
        <w:rPr>
          <w:rFonts w:eastAsiaTheme="majorEastAsia" w:cstheme="majorBidi"/>
          <w:iCs/>
          <w:szCs w:val="20"/>
        </w:rPr>
      </w:pPr>
    </w:p>
    <w:p w14:paraId="0B2A5DFE"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Adresse du fabricant :</w:t>
      </w:r>
    </w:p>
    <w:p w14:paraId="004E2052" w14:textId="72401BED" w:rsidR="007B3307" w:rsidRPr="00E214A5" w:rsidRDefault="007B3307" w:rsidP="00EF505A">
      <w:pPr>
        <w:pStyle w:val="KeinLeerraum"/>
        <w:rPr>
          <w:rFonts w:eastAsiaTheme="majorEastAsia" w:cstheme="majorBidi"/>
          <w:iCs/>
          <w:szCs w:val="20"/>
        </w:rPr>
      </w:pPr>
      <w:r w:rsidRPr="00E214A5">
        <w:rPr>
          <w:rFonts w:eastAsiaTheme="majorEastAsia" w:cstheme="majorBidi"/>
          <w:iCs/>
          <w:szCs w:val="20"/>
        </w:rPr>
        <w:t>GUTEX Holzfaserplattenwerk H. Henselmann GmbH &amp; Co. KG</w:t>
      </w:r>
    </w:p>
    <w:p w14:paraId="73648328" w14:textId="246CE306" w:rsidR="00EF505A" w:rsidRPr="00E214A5" w:rsidRDefault="004C53F2" w:rsidP="00EF505A">
      <w:pPr>
        <w:pStyle w:val="KeinLeerraum"/>
        <w:rPr>
          <w:rFonts w:eastAsiaTheme="majorEastAsia" w:cstheme="majorBidi"/>
          <w:iCs/>
          <w:szCs w:val="20"/>
        </w:rPr>
      </w:pPr>
      <w:r w:rsidRPr="00E214A5">
        <w:rPr>
          <w:rFonts w:eastAsiaTheme="majorEastAsia" w:cstheme="majorBidi"/>
          <w:iCs/>
          <w:szCs w:val="20"/>
        </w:rPr>
        <w:t>Gutenburg 5 | 79761 Waldshut-Tiengen | Allemagne</w:t>
      </w:r>
    </w:p>
    <w:p w14:paraId="720883F9" w14:textId="439B9FFF" w:rsidR="004C53F2" w:rsidRPr="00E214A5" w:rsidRDefault="000F73E5" w:rsidP="00EF505A">
      <w:pPr>
        <w:pStyle w:val="KeinLeerraum"/>
        <w:rPr>
          <w:rFonts w:eastAsiaTheme="majorEastAsia" w:cstheme="majorBidi"/>
          <w:iCs/>
          <w:szCs w:val="20"/>
        </w:rPr>
      </w:pPr>
      <w:r w:rsidRPr="00E214A5">
        <w:rPr>
          <w:rFonts w:eastAsiaTheme="majorEastAsia" w:cstheme="majorBidi"/>
          <w:iCs/>
          <w:szCs w:val="20"/>
        </w:rPr>
        <w:t xml:space="preserve">Téléphone : + 49 7741 6099-0 | </w:t>
      </w:r>
      <w:hyperlink r:id="rId20" w:history="1">
        <w:r w:rsidRPr="00E214A5">
          <w:rPr>
            <w:rFonts w:eastAsiaTheme="majorEastAsia" w:cstheme="majorBidi"/>
            <w:iCs/>
            <w:szCs w:val="20"/>
          </w:rPr>
          <w:t>www.gutex.fr</w:t>
        </w:r>
      </w:hyperlink>
      <w:r w:rsidRPr="00E214A5">
        <w:rPr>
          <w:rFonts w:eastAsiaTheme="majorEastAsia" w:cstheme="majorBidi"/>
          <w:iCs/>
          <w:szCs w:val="20"/>
        </w:rPr>
        <w:t xml:space="preserve"> | </w:t>
      </w:r>
      <w:hyperlink r:id="rId21" w:history="1">
        <w:r w:rsidRPr="00E214A5">
          <w:rPr>
            <w:rFonts w:eastAsiaTheme="majorEastAsia" w:cstheme="majorBidi"/>
            <w:iCs/>
            <w:szCs w:val="20"/>
          </w:rPr>
          <w:t>info@gutex.fr</w:t>
        </w:r>
      </w:hyperlink>
    </w:p>
    <w:p w14:paraId="4BBBDDC5" w14:textId="77777777" w:rsidR="00B055E4" w:rsidRPr="00E214A5" w:rsidRDefault="00B055E4" w:rsidP="00EF505A">
      <w:pPr>
        <w:pStyle w:val="KeinLeerraum"/>
        <w:rPr>
          <w:rFonts w:eastAsiaTheme="majorEastAsia" w:cstheme="majorBidi"/>
          <w:iCs/>
          <w:szCs w:val="20"/>
        </w:rPr>
      </w:pPr>
    </w:p>
    <w:p w14:paraId="0137A137"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Reproduction libre.</w:t>
      </w:r>
    </w:p>
    <w:p w14:paraId="4E307BDE"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Nous accueillons avec plaisir tout envoi d'exemplaires (de préférence sous la forme de données).</w:t>
      </w:r>
    </w:p>
    <w:p w14:paraId="350CD907"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Toutes les suggestions et les requêtes sont les bienvenues.</w:t>
      </w:r>
    </w:p>
    <w:p w14:paraId="48EEBDA1" w14:textId="77777777" w:rsidR="00B055E4" w:rsidRPr="00E214A5" w:rsidRDefault="00B055E4" w:rsidP="00EF505A">
      <w:pPr>
        <w:pStyle w:val="KeinLeerraum"/>
        <w:rPr>
          <w:rFonts w:eastAsiaTheme="majorEastAsia" w:cstheme="majorBidi"/>
          <w:iCs/>
          <w:szCs w:val="20"/>
        </w:rPr>
      </w:pPr>
    </w:p>
    <w:p w14:paraId="09EDAC66"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Mentions légales :</w:t>
      </w:r>
    </w:p>
    <w:p w14:paraId="7DFB6F89"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L'utilisation des images n'est autorisée que dans le cadre de rapports éditoriaux comportant des références à GUTEX.</w:t>
      </w:r>
    </w:p>
    <w:p w14:paraId="31F2DA99"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Les images peuvent être reproduites à cet effet et publiées gratuitement.</w:t>
      </w:r>
    </w:p>
    <w:p w14:paraId="4CB8F4ED"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La modification des images n'est pas autorisée. Les réductions ou agrandissements, ainsi que les sélections qui ne modifient pas le sens fondamental de l'image, sont autorisés.</w:t>
      </w:r>
    </w:p>
    <w:p w14:paraId="6E98FDAA" w14:textId="77777777" w:rsidR="00B055E4" w:rsidRPr="00E214A5" w:rsidRDefault="00B055E4" w:rsidP="00EF505A">
      <w:pPr>
        <w:pStyle w:val="KeinLeerraum"/>
        <w:rPr>
          <w:rFonts w:eastAsiaTheme="majorEastAsia" w:cstheme="majorBidi"/>
          <w:iCs/>
          <w:szCs w:val="20"/>
        </w:rPr>
      </w:pPr>
      <w:r w:rsidRPr="00E214A5">
        <w:rPr>
          <w:rFonts w:eastAsiaTheme="majorEastAsia" w:cstheme="majorBidi"/>
          <w:iCs/>
          <w:szCs w:val="20"/>
        </w:rPr>
        <w:t>Afin de garantir les droits d'auteur que nous ont accordés les photographes, l'utilisation des images n'est autorisée que si la source photographique « GUTEX » ou le nom du photographe est indiqué(e).</w:t>
      </w:r>
    </w:p>
    <w:p w14:paraId="7E484D3A" w14:textId="77777777" w:rsidR="00B055E4" w:rsidRPr="00E214A5" w:rsidRDefault="00B055E4" w:rsidP="00EF505A">
      <w:pPr>
        <w:pStyle w:val="KeinLeerraum"/>
        <w:rPr>
          <w:rFonts w:eastAsiaTheme="majorEastAsia" w:cstheme="majorBidi"/>
          <w:iCs/>
          <w:szCs w:val="20"/>
        </w:rPr>
      </w:pPr>
    </w:p>
    <w:p w14:paraId="36C7AE9F" w14:textId="77777777" w:rsidR="004C53F2" w:rsidRPr="00E214A5" w:rsidRDefault="00B055E4" w:rsidP="002702AC">
      <w:pPr>
        <w:rPr>
          <w:rFonts w:eastAsiaTheme="majorEastAsia" w:cstheme="majorBidi"/>
          <w:iCs/>
          <w:szCs w:val="20"/>
        </w:rPr>
      </w:pPr>
      <w:r w:rsidRPr="00E214A5">
        <w:rPr>
          <w:rFonts w:eastAsiaTheme="majorEastAsia" w:cstheme="majorBidi"/>
          <w:iCs/>
          <w:szCs w:val="20"/>
        </w:rPr>
        <w:t>Image : © GUTEX</w:t>
      </w:r>
    </w:p>
    <w:sectPr w:rsidR="004C53F2" w:rsidRPr="00E214A5" w:rsidSect="00E658A0">
      <w:footerReference w:type="default" r:id="rId22"/>
      <w:headerReference w:type="first" r:id="rId23"/>
      <w:footerReference w:type="first" r:id="rId24"/>
      <w:pgSz w:w="11900" w:h="16840"/>
      <w:pgMar w:top="1134" w:right="1531" w:bottom="1134" w:left="1531" w:header="227"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C946AE" w14:textId="77777777" w:rsidR="00661784" w:rsidRDefault="00661784" w:rsidP="009F0939">
      <w:r>
        <w:separator/>
      </w:r>
    </w:p>
  </w:endnote>
  <w:endnote w:type="continuationSeparator" w:id="0">
    <w:p w14:paraId="35A6616B" w14:textId="77777777" w:rsidR="00661784" w:rsidRDefault="00661784"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ato">
    <w:panose1 w:val="020F0502020204030203"/>
    <w:charset w:val="4D"/>
    <w:family w:val="swiss"/>
    <w:pitch w:val="variable"/>
    <w:sig w:usb0="A00000AF" w:usb1="5000604B" w:usb2="00000000" w:usb3="00000000" w:csb0="00000093" w:csb1="00000000"/>
  </w:font>
  <w:font w:name="Times New Roman (Textkörper CS)">
    <w:altName w:val="Times New Roman"/>
    <w:panose1 w:val="020B0604020202020204"/>
    <w:charset w:val="00"/>
    <w:family w:val="roman"/>
    <w:pitch w:val="variable"/>
    <w:sig w:usb0="00000000" w:usb1="C0007841" w:usb2="00000009" w:usb3="00000000" w:csb0="000001F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F0A02020204030203"/>
    <w:charset w:val="4D"/>
    <w:family w:val="swiss"/>
    <w:pitch w:val="variable"/>
    <w:sig w:usb0="A00000AF" w:usb1="5000604B"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MinionPro-Regular">
    <w:altName w:val="Minion Pro"/>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1BAF3" w14:textId="77777777" w:rsidR="003557E9" w:rsidRDefault="003557E9">
    <w:pPr>
      <w:pStyle w:val="Fuzeile"/>
    </w:pPr>
    <w:r>
      <w:rPr>
        <w:noProof/>
        <w:color w:val="2B579A"/>
        <w:shd w:val="clear" w:color="auto" w:fill="E6E6E6"/>
      </w:rPr>
      <w:drawing>
        <wp:anchor distT="0" distB="0" distL="114300" distR="114300" simplePos="0" relativeHeight="251661312" behindDoc="0" locked="0" layoutInCell="1" allowOverlap="1" wp14:anchorId="04BDFB56" wp14:editId="6AC61B72">
          <wp:simplePos x="0" y="0"/>
          <wp:positionH relativeFrom="column">
            <wp:posOffset>3176</wp:posOffset>
          </wp:positionH>
          <wp:positionV relativeFrom="paragraph">
            <wp:posOffset>5080</wp:posOffset>
          </wp:positionV>
          <wp:extent cx="5607457" cy="1756799"/>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54B0F" w14:textId="77777777" w:rsidR="003557E9" w:rsidRDefault="003557E9">
    <w:pPr>
      <w:pStyle w:val="Fuzeile"/>
    </w:pPr>
    <w:r>
      <w:rPr>
        <w:noProof/>
        <w:color w:val="2B579A"/>
        <w:shd w:val="clear" w:color="auto" w:fill="E6E6E6"/>
      </w:rPr>
      <w:drawing>
        <wp:anchor distT="0" distB="0" distL="114300" distR="114300" simplePos="0" relativeHeight="251659264" behindDoc="0" locked="0" layoutInCell="1" allowOverlap="1" wp14:anchorId="66D7F090" wp14:editId="4D7C6A66">
          <wp:simplePos x="0" y="0"/>
          <wp:positionH relativeFrom="column">
            <wp:posOffset>3176</wp:posOffset>
          </wp:positionH>
          <wp:positionV relativeFrom="paragraph">
            <wp:posOffset>5080</wp:posOffset>
          </wp:positionV>
          <wp:extent cx="5607457" cy="1756799"/>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6EFB6C" w14:textId="77777777" w:rsidR="00661784" w:rsidRDefault="00661784" w:rsidP="009F0939">
      <w:r>
        <w:separator/>
      </w:r>
    </w:p>
  </w:footnote>
  <w:footnote w:type="continuationSeparator" w:id="0">
    <w:p w14:paraId="30363028" w14:textId="77777777" w:rsidR="00661784" w:rsidRDefault="00661784"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730E1" w14:textId="77777777" w:rsidR="003557E9" w:rsidRDefault="003557E9">
    <w:pPr>
      <w:pStyle w:val="Kopfzeile"/>
    </w:pPr>
    <w:r>
      <w:rPr>
        <w:noProof/>
        <w:color w:val="2B579A"/>
        <w:shd w:val="clear" w:color="auto" w:fill="E6E6E6"/>
      </w:rPr>
      <w:drawing>
        <wp:anchor distT="180340" distB="90170" distL="114300" distR="114300" simplePos="0" relativeHeight="251663360" behindDoc="1" locked="1" layoutInCell="1" allowOverlap="1" wp14:anchorId="7FC3BA6D" wp14:editId="12D3EA80">
          <wp:simplePos x="0" y="0"/>
          <wp:positionH relativeFrom="page">
            <wp:posOffset>287655</wp:posOffset>
          </wp:positionH>
          <wp:positionV relativeFrom="page">
            <wp:posOffset>0</wp:posOffset>
          </wp:positionV>
          <wp:extent cx="6944360" cy="250444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360" cy="250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2C682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FE09C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EB63C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292542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EE8EE4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6CC82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EE454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30A956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2882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F7A8E82"/>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150511956">
    <w:abstractNumId w:val="0"/>
  </w:num>
  <w:num w:numId="2" w16cid:durableId="1603882097">
    <w:abstractNumId w:val="1"/>
  </w:num>
  <w:num w:numId="3" w16cid:durableId="1962295947">
    <w:abstractNumId w:val="2"/>
  </w:num>
  <w:num w:numId="4" w16cid:durableId="1838182994">
    <w:abstractNumId w:val="3"/>
  </w:num>
  <w:num w:numId="5" w16cid:durableId="1013990163">
    <w:abstractNumId w:val="8"/>
  </w:num>
  <w:num w:numId="6" w16cid:durableId="368845663">
    <w:abstractNumId w:val="4"/>
  </w:num>
  <w:num w:numId="7" w16cid:durableId="2110200756">
    <w:abstractNumId w:val="5"/>
  </w:num>
  <w:num w:numId="8" w16cid:durableId="1462073461">
    <w:abstractNumId w:val="6"/>
  </w:num>
  <w:num w:numId="9" w16cid:durableId="1929726779">
    <w:abstractNumId w:val="7"/>
  </w:num>
  <w:num w:numId="10" w16cid:durableId="2346318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6CF"/>
    <w:rsid w:val="00060C41"/>
    <w:rsid w:val="00080AA0"/>
    <w:rsid w:val="00091BE8"/>
    <w:rsid w:val="000A0A89"/>
    <w:rsid w:val="000F4094"/>
    <w:rsid w:val="000F73E5"/>
    <w:rsid w:val="00104A89"/>
    <w:rsid w:val="001537F1"/>
    <w:rsid w:val="00174792"/>
    <w:rsid w:val="00175269"/>
    <w:rsid w:val="001B450C"/>
    <w:rsid w:val="001B5B11"/>
    <w:rsid w:val="001B63AD"/>
    <w:rsid w:val="001C2671"/>
    <w:rsid w:val="001E2EA8"/>
    <w:rsid w:val="00202EF6"/>
    <w:rsid w:val="00210F6B"/>
    <w:rsid w:val="00216569"/>
    <w:rsid w:val="00217021"/>
    <w:rsid w:val="002702AC"/>
    <w:rsid w:val="00296332"/>
    <w:rsid w:val="002967BA"/>
    <w:rsid w:val="002E6A2E"/>
    <w:rsid w:val="00302FA4"/>
    <w:rsid w:val="00305EDD"/>
    <w:rsid w:val="00325C28"/>
    <w:rsid w:val="003303A9"/>
    <w:rsid w:val="003456C2"/>
    <w:rsid w:val="003557E9"/>
    <w:rsid w:val="00357AA3"/>
    <w:rsid w:val="00377C6B"/>
    <w:rsid w:val="00381236"/>
    <w:rsid w:val="003B2AC8"/>
    <w:rsid w:val="003C30E3"/>
    <w:rsid w:val="0041218F"/>
    <w:rsid w:val="00431448"/>
    <w:rsid w:val="004464CA"/>
    <w:rsid w:val="0045236E"/>
    <w:rsid w:val="004A1FD1"/>
    <w:rsid w:val="004C53F2"/>
    <w:rsid w:val="004F00B6"/>
    <w:rsid w:val="004F03F5"/>
    <w:rsid w:val="00503519"/>
    <w:rsid w:val="00541667"/>
    <w:rsid w:val="005752B4"/>
    <w:rsid w:val="005752B9"/>
    <w:rsid w:val="005937F7"/>
    <w:rsid w:val="005C7E91"/>
    <w:rsid w:val="006147DD"/>
    <w:rsid w:val="00661784"/>
    <w:rsid w:val="006663EA"/>
    <w:rsid w:val="0066674B"/>
    <w:rsid w:val="00684B82"/>
    <w:rsid w:val="00687890"/>
    <w:rsid w:val="006C7DA2"/>
    <w:rsid w:val="006E0154"/>
    <w:rsid w:val="006F5767"/>
    <w:rsid w:val="00712E57"/>
    <w:rsid w:val="00764699"/>
    <w:rsid w:val="00766071"/>
    <w:rsid w:val="00796056"/>
    <w:rsid w:val="007B3307"/>
    <w:rsid w:val="007B674D"/>
    <w:rsid w:val="007D0C0E"/>
    <w:rsid w:val="007F16A0"/>
    <w:rsid w:val="00815174"/>
    <w:rsid w:val="0082640C"/>
    <w:rsid w:val="00837940"/>
    <w:rsid w:val="0087089A"/>
    <w:rsid w:val="008839B1"/>
    <w:rsid w:val="008A17FB"/>
    <w:rsid w:val="008A5DA4"/>
    <w:rsid w:val="008B474B"/>
    <w:rsid w:val="008B5D41"/>
    <w:rsid w:val="008D49FD"/>
    <w:rsid w:val="008E17D9"/>
    <w:rsid w:val="008F46CF"/>
    <w:rsid w:val="00906C16"/>
    <w:rsid w:val="00956AA9"/>
    <w:rsid w:val="00970C4C"/>
    <w:rsid w:val="009A1938"/>
    <w:rsid w:val="009A3032"/>
    <w:rsid w:val="009B3A94"/>
    <w:rsid w:val="009F0939"/>
    <w:rsid w:val="009F33B1"/>
    <w:rsid w:val="00A04563"/>
    <w:rsid w:val="00A101D1"/>
    <w:rsid w:val="00A657D0"/>
    <w:rsid w:val="00A87F10"/>
    <w:rsid w:val="00A942F5"/>
    <w:rsid w:val="00AB08D3"/>
    <w:rsid w:val="00AB3D6F"/>
    <w:rsid w:val="00AD4E16"/>
    <w:rsid w:val="00B055E4"/>
    <w:rsid w:val="00B32C4C"/>
    <w:rsid w:val="00B370D5"/>
    <w:rsid w:val="00B47FE7"/>
    <w:rsid w:val="00B61764"/>
    <w:rsid w:val="00B80F7E"/>
    <w:rsid w:val="00BD5F6E"/>
    <w:rsid w:val="00BE2D60"/>
    <w:rsid w:val="00C10AB3"/>
    <w:rsid w:val="00C425A8"/>
    <w:rsid w:val="00C51647"/>
    <w:rsid w:val="00C5265F"/>
    <w:rsid w:val="00C96F01"/>
    <w:rsid w:val="00CA354A"/>
    <w:rsid w:val="00CB5EF1"/>
    <w:rsid w:val="00D00319"/>
    <w:rsid w:val="00D24EF1"/>
    <w:rsid w:val="00D66D60"/>
    <w:rsid w:val="00DA33BF"/>
    <w:rsid w:val="00DB6AD2"/>
    <w:rsid w:val="00DF56E0"/>
    <w:rsid w:val="00E214A5"/>
    <w:rsid w:val="00E658A0"/>
    <w:rsid w:val="00E85CF3"/>
    <w:rsid w:val="00EA6438"/>
    <w:rsid w:val="00EC328D"/>
    <w:rsid w:val="00EC68D6"/>
    <w:rsid w:val="00ED38E1"/>
    <w:rsid w:val="00EF505A"/>
    <w:rsid w:val="00F019B9"/>
    <w:rsid w:val="00F21B1D"/>
    <w:rsid w:val="00F24ADC"/>
    <w:rsid w:val="00F53857"/>
    <w:rsid w:val="00F6151B"/>
    <w:rsid w:val="00FE3FB1"/>
    <w:rsid w:val="00FF7385"/>
    <w:rsid w:val="01CC93B2"/>
    <w:rsid w:val="03688B94"/>
    <w:rsid w:val="05ECE960"/>
    <w:rsid w:val="0994CF62"/>
    <w:rsid w:val="0EB4A26F"/>
    <w:rsid w:val="16CC514F"/>
    <w:rsid w:val="19F5B6E7"/>
    <w:rsid w:val="1A79C0C2"/>
    <w:rsid w:val="454A1CAF"/>
    <w:rsid w:val="5C9A4DD2"/>
    <w:rsid w:val="75810FA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A2A18C"/>
  <w15:chartTrackingRefBased/>
  <w15:docId w15:val="{BCA16BD5-8FAC-0C4C-A831-42650A358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0F73E5"/>
    <w:pPr>
      <w:keepNext/>
      <w:keepLines/>
      <w:spacing w:after="240" w:line="520" w:lineRule="exact"/>
      <w:jc w:val="left"/>
      <w:outlineLvl w:val="2"/>
    </w:pPr>
    <w:rPr>
      <w:rFonts w:eastAsiaTheme="majorEastAsia" w:cstheme="majorBidi"/>
      <w:b/>
      <w:color w:val="E64637"/>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semiHidden/>
    <w:unhideWhenUsed/>
    <w:qFormat/>
    <w:rsid w:val="00B80F7E"/>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trPr>
      <w:hidden/>
    </w:tr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0F73E5"/>
    <w:rPr>
      <w:rFonts w:ascii="Lato" w:eastAsiaTheme="majorEastAsia" w:hAnsi="Lato" w:cstheme="majorBidi"/>
      <w:b/>
      <w:color w:val="E64637"/>
      <w:sz w:val="40"/>
      <w:lang w:val="fr-FR"/>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styleId="NichtaufgelsteErwhnung">
    <w:name w:val="Unresolved Mention"/>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autoRedefine/>
    <w:uiPriority w:val="99"/>
    <w:unhideWhenUsed/>
    <w:qFormat/>
    <w:rsid w:val="000A0A89"/>
    <w:pPr>
      <w:numPr>
        <w:numId w:val="10"/>
      </w:numPr>
      <w:contextualSpacing/>
    </w:pPr>
  </w:style>
  <w:style w:type="character" w:customStyle="1" w:styleId="berschrift6Zchn">
    <w:name w:val="Überschrift 6 Zchn"/>
    <w:basedOn w:val="Absatz-Standardschriftart"/>
    <w:link w:val="berschrift6"/>
    <w:uiPriority w:val="9"/>
    <w:semiHidden/>
    <w:rsid w:val="00B80F7E"/>
    <w:rPr>
      <w:rFonts w:asciiTheme="majorHAnsi" w:eastAsiaTheme="majorEastAsia" w:hAnsiTheme="majorHAnsi" w:cstheme="majorBidi"/>
      <w:color w:val="1F3763" w:themeColor="accent1" w:themeShade="7F"/>
      <w:sz w:val="20"/>
    </w:rPr>
  </w:style>
  <w:style w:type="paragraph" w:styleId="Datum">
    <w:name w:val="Date"/>
    <w:basedOn w:val="Standard"/>
    <w:next w:val="Standard"/>
    <w:link w:val="DatumZchn"/>
    <w:uiPriority w:val="99"/>
    <w:unhideWhenUsed/>
    <w:rsid w:val="00EC68D6"/>
    <w:pPr>
      <w:spacing w:before="120" w:after="240"/>
    </w:pPr>
    <w:rPr>
      <w:i/>
      <w:color w:val="A19996"/>
      <w:sz w:val="18"/>
    </w:rPr>
  </w:style>
  <w:style w:type="character" w:customStyle="1" w:styleId="DatumZchn">
    <w:name w:val="Datum Zchn"/>
    <w:basedOn w:val="Absatz-Standardschriftart"/>
    <w:link w:val="Datum"/>
    <w:uiPriority w:val="99"/>
    <w:rsid w:val="00EC68D6"/>
    <w:rPr>
      <w:rFonts w:ascii="Lato" w:hAnsi="Lato" w:cs="Times New Roman (Textkörper CS)"/>
      <w:i/>
      <w:color w:val="A19996"/>
      <w:sz w:val="18"/>
    </w:rPr>
  </w:style>
  <w:style w:type="character" w:styleId="Kommentarzeichen">
    <w:name w:val="annotation reference"/>
    <w:basedOn w:val="Absatz-Standardschriftart"/>
    <w:uiPriority w:val="99"/>
    <w:semiHidden/>
    <w:unhideWhenUsed/>
    <w:rsid w:val="00EC68D6"/>
    <w:rPr>
      <w:sz w:val="16"/>
      <w:szCs w:val="16"/>
    </w:rPr>
  </w:style>
  <w:style w:type="paragraph" w:styleId="Kommentartext">
    <w:name w:val="annotation text"/>
    <w:basedOn w:val="Standard"/>
    <w:link w:val="KommentartextZchn"/>
    <w:uiPriority w:val="99"/>
    <w:semiHidden/>
    <w:unhideWhenUsed/>
    <w:rsid w:val="00EC68D6"/>
    <w:pPr>
      <w:spacing w:line="240" w:lineRule="auto"/>
    </w:pPr>
    <w:rPr>
      <w:szCs w:val="20"/>
    </w:rPr>
  </w:style>
  <w:style w:type="character" w:customStyle="1" w:styleId="KommentartextZchn">
    <w:name w:val="Kommentartext Zchn"/>
    <w:basedOn w:val="Absatz-Standardschriftart"/>
    <w:link w:val="Kommentartext"/>
    <w:uiPriority w:val="99"/>
    <w:semiHidden/>
    <w:rsid w:val="00EC68D6"/>
    <w:rPr>
      <w:rFonts w:ascii="Lato" w:hAnsi="Lato" w:cs="Times New Roman (Textkörper CS)"/>
      <w:color w:val="5F504B"/>
      <w:sz w:val="20"/>
      <w:szCs w:val="20"/>
    </w:rPr>
  </w:style>
  <w:style w:type="paragraph" w:styleId="Untertitel">
    <w:name w:val="Subtitle"/>
    <w:basedOn w:val="Standard"/>
    <w:next w:val="Standard"/>
    <w:link w:val="UntertitelZchn"/>
    <w:uiPriority w:val="11"/>
    <w:qFormat/>
    <w:rsid w:val="001B5B1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1B5B11"/>
    <w:rPr>
      <w:rFonts w:eastAsiaTheme="minorEastAsia"/>
      <w:color w:val="5A5A5A" w:themeColor="text1" w:themeTint="A5"/>
      <w:spacing w:val="15"/>
      <w:sz w:val="22"/>
      <w:szCs w:val="22"/>
    </w:rPr>
  </w:style>
  <w:style w:type="paragraph" w:styleId="KeinLeerraum">
    <w:name w:val="No Spacing"/>
    <w:basedOn w:val="Standard"/>
    <w:uiPriority w:val="1"/>
    <w:qFormat/>
    <w:rsid w:val="00EF505A"/>
    <w:pPr>
      <w:spacing w:after="0"/>
    </w:pPr>
  </w:style>
  <w:style w:type="character" w:styleId="Erwhnung">
    <w:name w:val="Mention"/>
    <w:basedOn w:val="Absatz-Standardschriftar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602835">
      <w:bodyDiv w:val="1"/>
      <w:marLeft w:val="0"/>
      <w:marRight w:val="0"/>
      <w:marTop w:val="0"/>
      <w:marBottom w:val="0"/>
      <w:divBdr>
        <w:top w:val="none" w:sz="0" w:space="0" w:color="auto"/>
        <w:left w:val="none" w:sz="0" w:space="0" w:color="auto"/>
        <w:bottom w:val="none" w:sz="0" w:space="0" w:color="auto"/>
        <w:right w:val="none" w:sz="0" w:space="0" w:color="auto"/>
      </w:divBdr>
    </w:div>
    <w:div w:id="197008041">
      <w:bodyDiv w:val="1"/>
      <w:marLeft w:val="0"/>
      <w:marRight w:val="0"/>
      <w:marTop w:val="0"/>
      <w:marBottom w:val="0"/>
      <w:divBdr>
        <w:top w:val="none" w:sz="0" w:space="0" w:color="auto"/>
        <w:left w:val="none" w:sz="0" w:space="0" w:color="auto"/>
        <w:bottom w:val="none" w:sz="0" w:space="0" w:color="auto"/>
        <w:right w:val="none" w:sz="0" w:space="0" w:color="auto"/>
      </w:divBdr>
    </w:div>
    <w:div w:id="217329250">
      <w:bodyDiv w:val="1"/>
      <w:marLeft w:val="0"/>
      <w:marRight w:val="0"/>
      <w:marTop w:val="0"/>
      <w:marBottom w:val="0"/>
      <w:divBdr>
        <w:top w:val="none" w:sz="0" w:space="0" w:color="auto"/>
        <w:left w:val="none" w:sz="0" w:space="0" w:color="auto"/>
        <w:bottom w:val="none" w:sz="0" w:space="0" w:color="auto"/>
        <w:right w:val="none" w:sz="0" w:space="0" w:color="auto"/>
      </w:divBdr>
    </w:div>
    <w:div w:id="1249191430">
      <w:bodyDiv w:val="1"/>
      <w:marLeft w:val="0"/>
      <w:marRight w:val="0"/>
      <w:marTop w:val="0"/>
      <w:marBottom w:val="0"/>
      <w:divBdr>
        <w:top w:val="none" w:sz="0" w:space="0" w:color="auto"/>
        <w:left w:val="none" w:sz="0" w:space="0" w:color="auto"/>
        <w:bottom w:val="none" w:sz="0" w:space="0" w:color="auto"/>
        <w:right w:val="none" w:sz="0" w:space="0" w:color="auto"/>
      </w:divBdr>
    </w:div>
    <w:div w:id="1453865368">
      <w:bodyDiv w:val="1"/>
      <w:marLeft w:val="0"/>
      <w:marRight w:val="0"/>
      <w:marTop w:val="0"/>
      <w:marBottom w:val="0"/>
      <w:divBdr>
        <w:top w:val="none" w:sz="0" w:space="0" w:color="auto"/>
        <w:left w:val="none" w:sz="0" w:space="0" w:color="auto"/>
        <w:bottom w:val="none" w:sz="0" w:space="0" w:color="auto"/>
        <w:right w:val="none" w:sz="0" w:space="0" w:color="auto"/>
      </w:divBdr>
    </w:div>
    <w:div w:id="1721511684">
      <w:bodyDiv w:val="1"/>
      <w:marLeft w:val="0"/>
      <w:marRight w:val="0"/>
      <w:marTop w:val="0"/>
      <w:marBottom w:val="0"/>
      <w:divBdr>
        <w:top w:val="none" w:sz="0" w:space="0" w:color="auto"/>
        <w:left w:val="none" w:sz="0" w:space="0" w:color="auto"/>
        <w:bottom w:val="none" w:sz="0" w:space="0" w:color="auto"/>
        <w:right w:val="none" w:sz="0" w:space="0" w:color="auto"/>
      </w:divBdr>
    </w:div>
    <w:div w:id="1852645324">
      <w:bodyDiv w:val="1"/>
      <w:marLeft w:val="0"/>
      <w:marRight w:val="0"/>
      <w:marTop w:val="0"/>
      <w:marBottom w:val="0"/>
      <w:divBdr>
        <w:top w:val="none" w:sz="0" w:space="0" w:color="auto"/>
        <w:left w:val="none" w:sz="0" w:space="0" w:color="auto"/>
        <w:bottom w:val="none" w:sz="0" w:space="0" w:color="auto"/>
        <w:right w:val="none" w:sz="0" w:space="0" w:color="auto"/>
      </w:divBdr>
    </w:div>
    <w:div w:id="1924490926">
      <w:bodyDiv w:val="1"/>
      <w:marLeft w:val="0"/>
      <w:marRight w:val="0"/>
      <w:marTop w:val="0"/>
      <w:marBottom w:val="0"/>
      <w:divBdr>
        <w:top w:val="none" w:sz="0" w:space="0" w:color="auto"/>
        <w:left w:val="none" w:sz="0" w:space="0" w:color="auto"/>
        <w:bottom w:val="none" w:sz="0" w:space="0" w:color="auto"/>
        <w:right w:val="none" w:sz="0" w:space="0" w:color="auto"/>
      </w:divBdr>
    </w:div>
    <w:div w:id="2083328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yperlink" Target="mailto:"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info@gutex.fr" TargetMode="External"/><Relationship Id="rId7" Type="http://schemas.openxmlformats.org/officeDocument/2006/relationships/settings" Target="settings.xml"/><Relationship Id="rId12" Type="http://schemas.openxmlformats.org/officeDocument/2006/relationships/hyperlink" Target="https://gutex.fr/service/details-de-construction" TargetMode="External"/><Relationship Id="rId17" Type="http://schemas.openxmlformats.org/officeDocument/2006/relationships/hyperlink" Target="http://gutex.fr/hom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gutex.fr/entreprise/presse/" TargetMode="External"/><Relationship Id="rId20" Type="http://schemas.openxmlformats.org/officeDocument/2006/relationships/hyperlink" Target="http://gutex.fr/hom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utex.fr/fileadmin/uploads/Downloads/Broschueren/GUTEX_Konstruktionsvorschlaege-Broschuere_fr.pdf"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mailto:gutex@maip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gutex.fr/"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3" ma:contentTypeDescription="Create a new document." ma:contentTypeScope="" ma:versionID="b8a44dcecb248dc96e04195069ddca4d">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bd0e48119c19bb3488e2939c09e85fb7"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7693EF-6A7D-4888-A818-FB7715CBFF4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5910574-10A6-43D4-B776-10F1C0EA0D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C8E3B45-53EF-47A4-8387-D6B8DEACB035}">
  <ds:schemaRefs>
    <ds:schemaRef ds:uri="http://schemas.microsoft.com/sharepoint/v3/contenttype/forms"/>
  </ds:schemaRefs>
</ds:datastoreItem>
</file>

<file path=customXml/itemProps4.xml><?xml version="1.0" encoding="utf-8"?>
<ds:datastoreItem xmlns:ds="http://schemas.openxmlformats.org/officeDocument/2006/customXml" ds:itemID="{AB752060-1715-EB4C-8155-243FE398BA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1119</Words>
  <Characters>7051</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Arno Heitland</cp:lastModifiedBy>
  <cp:revision>16</cp:revision>
  <cp:lastPrinted>2018-09-12T06:01:00Z</cp:lastPrinted>
  <dcterms:created xsi:type="dcterms:W3CDTF">2022-03-15T15:15:00Z</dcterms:created>
  <dcterms:modified xsi:type="dcterms:W3CDTF">2022-05-19T07:54:00Z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