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2CF0E" w14:textId="32C61CA0" w:rsidR="00BE5E8D" w:rsidRPr="0009440A" w:rsidRDefault="00A02D3D" w:rsidP="00BE5E8D">
      <w:pPr>
        <w:pStyle w:val="Datum"/>
      </w:pPr>
      <w:r w:rsidRPr="0009440A">
        <w:rPr>
          <w:noProof/>
          <w:lang w:eastAsia="de-DE"/>
        </w:rPr>
        <w:drawing>
          <wp:anchor distT="180340" distB="90170" distL="114300" distR="114300" simplePos="0" relativeHeight="251662336" behindDoc="1" locked="1" layoutInCell="1" allowOverlap="1" wp14:anchorId="151A57E7" wp14:editId="2EAAEA86">
            <wp:simplePos x="0" y="0"/>
            <wp:positionH relativeFrom="page">
              <wp:posOffset>289560</wp:posOffset>
            </wp:positionH>
            <wp:positionV relativeFrom="page">
              <wp:posOffset>0</wp:posOffset>
            </wp:positionV>
            <wp:extent cx="6944400" cy="2505600"/>
            <wp:effectExtent l="0" t="0" r="2540" b="0"/>
            <wp:wrapTopAndBottom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UTEX_Image_194x74.jpg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4400" cy="2505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440A">
        <w:t>Waldshut-Tienge</w:t>
      </w:r>
      <w:r w:rsidR="00D47710">
        <w:t>n,</w:t>
      </w:r>
      <w:r w:rsidR="005D1801">
        <w:t xml:space="preserve"> 22</w:t>
      </w:r>
      <w:r w:rsidR="004603B0" w:rsidRPr="0009440A">
        <w:t>.</w:t>
      </w:r>
      <w:r w:rsidR="00970929" w:rsidRPr="0009440A">
        <w:t xml:space="preserve"> </w:t>
      </w:r>
      <w:r w:rsidR="00312590" w:rsidRPr="0009440A">
        <w:t xml:space="preserve">November </w:t>
      </w:r>
      <w:r w:rsidR="00F5587A" w:rsidRPr="0009440A">
        <w:t>2023</w:t>
      </w:r>
      <w:r w:rsidR="00BE5E8D" w:rsidRPr="0009440A">
        <w:t xml:space="preserve"> </w:t>
      </w:r>
    </w:p>
    <w:p w14:paraId="7E7EDBCC" w14:textId="7AC1F69B" w:rsidR="00BE5E8D" w:rsidRPr="0009440A" w:rsidRDefault="005F7542" w:rsidP="00E73D3E">
      <w:pPr>
        <w:pStyle w:val="berschrift3"/>
      </w:pPr>
      <w:r w:rsidRPr="0009440A">
        <w:t>GUTEX Dämmstoffe sind „QNG</w:t>
      </w:r>
      <w:r w:rsidR="00A40A0B">
        <w:t xml:space="preserve"> </w:t>
      </w:r>
      <w:proofErr w:type="spellStart"/>
      <w:r w:rsidR="00E73D3E">
        <w:t>ready</w:t>
      </w:r>
      <w:proofErr w:type="spellEnd"/>
      <w:r w:rsidRPr="0009440A">
        <w:t>“</w:t>
      </w:r>
    </w:p>
    <w:p w14:paraId="20ACCFA8" w14:textId="7A180C1F" w:rsidR="00970929" w:rsidRPr="0009440A" w:rsidRDefault="0039682E" w:rsidP="006B7AC0">
      <w:pPr>
        <w:spacing w:line="400" w:lineRule="exact"/>
        <w:rPr>
          <w:rFonts w:eastAsiaTheme="majorEastAsia" w:cs="Times New Roman (Überschriften"/>
          <w:b/>
          <w:iCs/>
          <w:spacing w:val="-2"/>
          <w:sz w:val="30"/>
        </w:rPr>
      </w:pPr>
      <w:r>
        <w:rPr>
          <w:rFonts w:eastAsiaTheme="majorEastAsia" w:cs="Times New Roman (Überschriften"/>
          <w:b/>
          <w:iCs/>
          <w:spacing w:val="-2"/>
          <w:sz w:val="30"/>
        </w:rPr>
        <w:t xml:space="preserve">Qualität für </w:t>
      </w:r>
      <w:r w:rsidR="00D42BED" w:rsidRPr="0009440A">
        <w:rPr>
          <w:rFonts w:eastAsiaTheme="majorEastAsia" w:cs="Times New Roman (Überschriften"/>
          <w:b/>
          <w:iCs/>
          <w:spacing w:val="-2"/>
          <w:sz w:val="30"/>
        </w:rPr>
        <w:t>anspruchsvolles Förderniveau</w:t>
      </w:r>
      <w:r w:rsidR="00DF6F2E">
        <w:rPr>
          <w:rFonts w:eastAsiaTheme="majorEastAsia" w:cs="Times New Roman (Überschriften"/>
          <w:b/>
          <w:iCs/>
          <w:spacing w:val="-2"/>
          <w:sz w:val="30"/>
        </w:rPr>
        <w:t xml:space="preserve"> bestätigt</w:t>
      </w:r>
    </w:p>
    <w:p w14:paraId="622DCF5A" w14:textId="69FB2413" w:rsidR="00F10455" w:rsidRDefault="00D42BED" w:rsidP="00137EA1">
      <w:pPr>
        <w:rPr>
          <w:rFonts w:eastAsia="Times New Roman" w:cs="Times New Roman"/>
          <w:b/>
          <w:bCs/>
          <w:i/>
          <w:iCs/>
          <w:szCs w:val="20"/>
          <w:lang w:eastAsia="de-DE"/>
        </w:rPr>
      </w:pPr>
      <w:r w:rsidRPr="0009440A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Neun der </w:t>
      </w:r>
      <w:r w:rsidR="0009440A" w:rsidRPr="0009440A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gängigsten </w:t>
      </w:r>
      <w:r w:rsidR="0009440A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GUTEX Holzfaserdämmstoffe für Dach, Fassade und Ausbau </w:t>
      </w:r>
      <w:r w:rsidR="0039682E">
        <w:rPr>
          <w:rFonts w:eastAsia="Times New Roman" w:cs="Times New Roman"/>
          <w:b/>
          <w:bCs/>
          <w:i/>
          <w:iCs/>
          <w:szCs w:val="20"/>
          <w:lang w:eastAsia="de-DE"/>
        </w:rPr>
        <w:t>tragen</w:t>
      </w:r>
      <w:r w:rsidR="0039682E" w:rsidRPr="0009440A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 </w:t>
      </w:r>
      <w:r w:rsidR="00460E7B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jetzt das </w:t>
      </w:r>
      <w:r w:rsidR="00E73D3E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Siegel </w:t>
      </w:r>
      <w:r w:rsidR="0009440A" w:rsidRPr="0009440A">
        <w:rPr>
          <w:rFonts w:eastAsia="Times New Roman" w:cs="Times New Roman"/>
          <w:b/>
          <w:bCs/>
          <w:i/>
          <w:iCs/>
          <w:szCs w:val="20"/>
          <w:lang w:eastAsia="de-DE"/>
        </w:rPr>
        <w:t>„QNG</w:t>
      </w:r>
      <w:r w:rsidR="00A40A0B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 </w:t>
      </w:r>
      <w:proofErr w:type="spellStart"/>
      <w:r w:rsidR="00E73D3E">
        <w:rPr>
          <w:rFonts w:eastAsia="Times New Roman" w:cs="Times New Roman"/>
          <w:b/>
          <w:bCs/>
          <w:i/>
          <w:iCs/>
          <w:szCs w:val="20"/>
          <w:lang w:eastAsia="de-DE"/>
        </w:rPr>
        <w:t>r</w:t>
      </w:r>
      <w:r w:rsidR="00A40A0B">
        <w:rPr>
          <w:rFonts w:eastAsia="Times New Roman" w:cs="Times New Roman"/>
          <w:b/>
          <w:bCs/>
          <w:i/>
          <w:iCs/>
          <w:szCs w:val="20"/>
          <w:lang w:eastAsia="de-DE"/>
        </w:rPr>
        <w:t>e</w:t>
      </w:r>
      <w:r w:rsidR="0009440A" w:rsidRPr="0009440A">
        <w:rPr>
          <w:rFonts w:eastAsia="Times New Roman" w:cs="Times New Roman"/>
          <w:b/>
          <w:bCs/>
          <w:i/>
          <w:iCs/>
          <w:szCs w:val="20"/>
          <w:lang w:eastAsia="de-DE"/>
        </w:rPr>
        <w:t>ady</w:t>
      </w:r>
      <w:proofErr w:type="spellEnd"/>
      <w:r w:rsidR="0009440A" w:rsidRPr="0009440A">
        <w:rPr>
          <w:rFonts w:eastAsia="Times New Roman" w:cs="Times New Roman"/>
          <w:b/>
          <w:bCs/>
          <w:i/>
          <w:iCs/>
          <w:szCs w:val="20"/>
          <w:lang w:eastAsia="de-DE"/>
        </w:rPr>
        <w:t>“ des Sentinel Haus Institut</w:t>
      </w:r>
      <w:r w:rsidR="0009440A">
        <w:rPr>
          <w:rFonts w:eastAsia="Times New Roman" w:cs="Times New Roman"/>
          <w:b/>
          <w:bCs/>
          <w:i/>
          <w:iCs/>
          <w:szCs w:val="20"/>
          <w:lang w:eastAsia="de-DE"/>
        </w:rPr>
        <w:t>s</w:t>
      </w:r>
      <w:r w:rsidR="00FA0B03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. Die Zertifizierung </w:t>
      </w:r>
      <w:r w:rsidR="00067163">
        <w:rPr>
          <w:rFonts w:eastAsia="Times New Roman" w:cs="Times New Roman"/>
          <w:b/>
          <w:bCs/>
          <w:i/>
          <w:iCs/>
          <w:szCs w:val="20"/>
          <w:lang w:eastAsia="de-DE"/>
        </w:rPr>
        <w:t>bestätigt, dass sie der schadstoffarmen Bauweis</w:t>
      </w:r>
      <w:r w:rsidR="005D1801">
        <w:rPr>
          <w:rFonts w:eastAsia="Times New Roman" w:cs="Times New Roman"/>
          <w:b/>
          <w:bCs/>
          <w:i/>
          <w:iCs/>
          <w:szCs w:val="20"/>
          <w:lang w:eastAsia="de-DE"/>
        </w:rPr>
        <w:t>e</w:t>
      </w:r>
      <w:r w:rsidR="00067163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 entsprechen und</w:t>
      </w:r>
      <w:r w:rsidR="00E73D3E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 sich</w:t>
      </w:r>
      <w:r w:rsidR="00067163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 für nachhaltige</w:t>
      </w:r>
      <w:r w:rsidR="00E73D3E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 </w:t>
      </w:r>
      <w:r w:rsidR="0039682E">
        <w:rPr>
          <w:rFonts w:eastAsia="Times New Roman" w:cs="Times New Roman"/>
          <w:b/>
          <w:bCs/>
          <w:i/>
          <w:iCs/>
          <w:szCs w:val="20"/>
          <w:lang w:eastAsia="de-DE"/>
        </w:rPr>
        <w:t>Bauprojekte</w:t>
      </w:r>
      <w:r w:rsidR="00E73D3E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 qualifizieren</w:t>
      </w:r>
      <w:r w:rsidR="00460E7B">
        <w:rPr>
          <w:rFonts w:eastAsia="Times New Roman" w:cs="Times New Roman"/>
          <w:b/>
          <w:bCs/>
          <w:i/>
          <w:iCs/>
          <w:szCs w:val="20"/>
          <w:lang w:eastAsia="de-DE"/>
        </w:rPr>
        <w:t>, die</w:t>
      </w:r>
      <w:r w:rsidR="00280EB9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 </w:t>
      </w:r>
      <w:r w:rsidR="00FA0B03">
        <w:rPr>
          <w:rFonts w:eastAsia="Times New Roman" w:cs="Times New Roman"/>
          <w:b/>
          <w:bCs/>
          <w:i/>
          <w:iCs/>
          <w:szCs w:val="20"/>
          <w:lang w:eastAsia="de-DE"/>
        </w:rPr>
        <w:t>nach</w:t>
      </w:r>
      <w:r w:rsidR="001279F7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 den</w:t>
      </w:r>
      <w:r w:rsidR="00460E7B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 </w:t>
      </w:r>
      <w:r w:rsidR="0009440A" w:rsidRPr="0009440A">
        <w:rPr>
          <w:rFonts w:eastAsia="Times New Roman" w:cs="Times New Roman"/>
          <w:b/>
          <w:bCs/>
          <w:i/>
          <w:iCs/>
          <w:szCs w:val="20"/>
          <w:lang w:eastAsia="de-DE"/>
        </w:rPr>
        <w:t>Kriterien des „Qualitätssiegels Nachhaltiges Gebäude“ (QNG)</w:t>
      </w:r>
      <w:r w:rsidR="00460E7B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 </w:t>
      </w:r>
      <w:r w:rsidR="00067163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von der KfW </w:t>
      </w:r>
      <w:r w:rsidR="00280EB9">
        <w:rPr>
          <w:rFonts w:eastAsia="Times New Roman" w:cs="Times New Roman"/>
          <w:b/>
          <w:bCs/>
          <w:i/>
          <w:iCs/>
          <w:szCs w:val="20"/>
          <w:lang w:eastAsia="de-DE"/>
        </w:rPr>
        <w:t>gefördert werden</w:t>
      </w:r>
      <w:r w:rsidR="0009440A" w:rsidRPr="0009440A">
        <w:rPr>
          <w:rFonts w:eastAsia="Times New Roman" w:cs="Times New Roman"/>
          <w:b/>
          <w:bCs/>
          <w:i/>
          <w:iCs/>
          <w:szCs w:val="20"/>
          <w:lang w:eastAsia="de-DE"/>
        </w:rPr>
        <w:t>.</w:t>
      </w:r>
      <w:r w:rsidR="00EF479A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 Damit erleichtert </w:t>
      </w:r>
      <w:r w:rsidR="00F86C9C">
        <w:rPr>
          <w:rFonts w:eastAsia="Times New Roman" w:cs="Times New Roman"/>
          <w:b/>
          <w:bCs/>
          <w:i/>
          <w:iCs/>
          <w:szCs w:val="20"/>
          <w:lang w:eastAsia="de-DE"/>
        </w:rPr>
        <w:t>der Hersteller</w:t>
      </w:r>
      <w:r w:rsidR="00EF479A" w:rsidRPr="00EF479A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 </w:t>
      </w:r>
      <w:r w:rsidR="00067163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den </w:t>
      </w:r>
      <w:r w:rsidR="00EF479A" w:rsidRPr="00EF479A">
        <w:rPr>
          <w:rFonts w:eastAsia="Times New Roman" w:cs="Times New Roman"/>
          <w:b/>
          <w:bCs/>
          <w:i/>
          <w:iCs/>
          <w:szCs w:val="20"/>
          <w:lang w:eastAsia="de-DE"/>
        </w:rPr>
        <w:t>Architekt</w:t>
      </w:r>
      <w:r w:rsidR="0039682E">
        <w:rPr>
          <w:rFonts w:eastAsia="Times New Roman" w:cs="Times New Roman"/>
          <w:b/>
          <w:bCs/>
          <w:i/>
          <w:iCs/>
          <w:szCs w:val="20"/>
          <w:lang w:eastAsia="de-DE"/>
        </w:rPr>
        <w:t>e</w:t>
      </w:r>
      <w:r w:rsidR="00F86C9C">
        <w:rPr>
          <w:rFonts w:eastAsia="Times New Roman" w:cs="Times New Roman"/>
          <w:b/>
          <w:bCs/>
          <w:i/>
          <w:iCs/>
          <w:szCs w:val="20"/>
          <w:lang w:eastAsia="de-DE"/>
        </w:rPr>
        <w:t>n</w:t>
      </w:r>
      <w:r w:rsidR="00EF479A" w:rsidRPr="00EF479A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 und Planer</w:t>
      </w:r>
      <w:r w:rsidR="00F86C9C">
        <w:rPr>
          <w:rFonts w:eastAsia="Times New Roman" w:cs="Times New Roman"/>
          <w:b/>
          <w:bCs/>
          <w:i/>
          <w:iCs/>
          <w:szCs w:val="20"/>
          <w:lang w:eastAsia="de-DE"/>
        </w:rPr>
        <w:t>n</w:t>
      </w:r>
      <w:r w:rsidR="00EF479A" w:rsidRPr="00EF479A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 die </w:t>
      </w:r>
      <w:r w:rsidR="00EF479A" w:rsidRPr="00844270">
        <w:rPr>
          <w:rFonts w:eastAsia="Times New Roman" w:cs="Times New Roman"/>
          <w:b/>
          <w:bCs/>
          <w:i/>
          <w:iCs/>
          <w:szCs w:val="20"/>
          <w:lang w:eastAsia="de-DE"/>
        </w:rPr>
        <w:t>Nachweisführung</w:t>
      </w:r>
      <w:r w:rsidR="00280EB9">
        <w:rPr>
          <w:rFonts w:eastAsia="Times New Roman" w:cs="Times New Roman"/>
          <w:b/>
          <w:bCs/>
          <w:i/>
          <w:iCs/>
          <w:szCs w:val="20"/>
          <w:lang w:eastAsia="de-DE"/>
        </w:rPr>
        <w:t>: D</w:t>
      </w:r>
      <w:r w:rsidR="00EF479A" w:rsidRPr="00844270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ie </w:t>
      </w:r>
      <w:r w:rsidR="00920637">
        <w:rPr>
          <w:rFonts w:eastAsia="Times New Roman" w:cs="Times New Roman"/>
          <w:b/>
          <w:bCs/>
          <w:i/>
          <w:iCs/>
          <w:szCs w:val="20"/>
          <w:lang w:eastAsia="de-DE"/>
        </w:rPr>
        <w:t>„</w:t>
      </w:r>
      <w:r w:rsidR="00067163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QNG </w:t>
      </w:r>
      <w:proofErr w:type="spellStart"/>
      <w:r w:rsidR="00067163">
        <w:rPr>
          <w:rFonts w:eastAsia="Times New Roman" w:cs="Times New Roman"/>
          <w:b/>
          <w:bCs/>
          <w:i/>
          <w:iCs/>
          <w:szCs w:val="20"/>
          <w:lang w:eastAsia="de-DE"/>
        </w:rPr>
        <w:t>ready</w:t>
      </w:r>
      <w:proofErr w:type="spellEnd"/>
      <w:r w:rsidR="00920637">
        <w:rPr>
          <w:rFonts w:eastAsia="Times New Roman" w:cs="Times New Roman"/>
          <w:b/>
          <w:bCs/>
          <w:i/>
          <w:iCs/>
          <w:szCs w:val="20"/>
          <w:lang w:eastAsia="de-DE"/>
        </w:rPr>
        <w:t>“-</w:t>
      </w:r>
      <w:r w:rsidR="00EF479A" w:rsidRPr="00844270">
        <w:rPr>
          <w:rFonts w:eastAsia="Times New Roman" w:cs="Times New Roman"/>
          <w:b/>
          <w:bCs/>
          <w:i/>
          <w:iCs/>
          <w:szCs w:val="20"/>
          <w:lang w:eastAsia="de-DE"/>
        </w:rPr>
        <w:t>Zertifikate</w:t>
      </w:r>
      <w:r w:rsidR="00555523" w:rsidRPr="00844270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 </w:t>
      </w:r>
      <w:r w:rsidR="00844270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sind </w:t>
      </w:r>
      <w:r w:rsidR="00EF479A" w:rsidRPr="00844270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jederzeit </w:t>
      </w:r>
      <w:r w:rsidR="009C7DF8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auf den Websites des Prüfinstituts sowie des Herstellers unter </w:t>
      </w:r>
      <w:hyperlink r:id="rId12" w:history="1">
        <w:r w:rsidR="00087112" w:rsidRPr="00763859">
          <w:rPr>
            <w:rStyle w:val="Hyperlink"/>
            <w:rFonts w:eastAsia="Times New Roman" w:cs="Times New Roman"/>
            <w:b/>
            <w:bCs/>
            <w:i/>
            <w:iCs/>
            <w:szCs w:val="20"/>
            <w:lang w:eastAsia="de-DE"/>
          </w:rPr>
          <w:t>www.gutex.de</w:t>
        </w:r>
      </w:hyperlink>
      <w:r w:rsidR="00087112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 </w:t>
      </w:r>
      <w:r w:rsidR="00EF479A" w:rsidRPr="00844270">
        <w:rPr>
          <w:rFonts w:eastAsia="Times New Roman" w:cs="Times New Roman"/>
          <w:b/>
          <w:bCs/>
          <w:i/>
          <w:iCs/>
          <w:szCs w:val="20"/>
          <w:lang w:eastAsia="de-DE"/>
        </w:rPr>
        <w:t>abrufbar.</w:t>
      </w:r>
      <w:r w:rsidR="00F86C9C" w:rsidRPr="00844270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 Bauherr</w:t>
      </w:r>
      <w:r w:rsidR="002D5F93" w:rsidRPr="00844270">
        <w:rPr>
          <w:rFonts w:eastAsia="Times New Roman" w:cs="Times New Roman"/>
          <w:b/>
          <w:bCs/>
          <w:i/>
          <w:iCs/>
          <w:szCs w:val="20"/>
          <w:lang w:eastAsia="de-DE"/>
        </w:rPr>
        <w:t>e</w:t>
      </w:r>
      <w:r w:rsidR="00F86C9C" w:rsidRPr="00844270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n </w:t>
      </w:r>
      <w:r w:rsidR="00EF208B">
        <w:rPr>
          <w:rFonts w:eastAsia="Times New Roman" w:cs="Times New Roman"/>
          <w:b/>
          <w:bCs/>
          <w:i/>
          <w:iCs/>
          <w:szCs w:val="20"/>
          <w:lang w:eastAsia="de-DE"/>
        </w:rPr>
        <w:t>gibt das Zertifikat</w:t>
      </w:r>
      <w:r w:rsidR="00844270" w:rsidRPr="00AE4D6F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 die Sicherheit, </w:t>
      </w:r>
      <w:r w:rsidR="008D6DB9" w:rsidRPr="00844270">
        <w:rPr>
          <w:rFonts w:eastAsia="Times New Roman" w:cs="Times New Roman"/>
          <w:b/>
          <w:bCs/>
          <w:i/>
          <w:iCs/>
          <w:szCs w:val="20"/>
          <w:lang w:eastAsia="de-DE"/>
        </w:rPr>
        <w:t xml:space="preserve">mit wohngesunden GUTEX Dämmstoffen attraktive KfW-Fördermöglichkeiten </w:t>
      </w:r>
      <w:r w:rsidR="00844270">
        <w:rPr>
          <w:rFonts w:eastAsia="Times New Roman" w:cs="Times New Roman"/>
          <w:b/>
          <w:bCs/>
          <w:i/>
          <w:iCs/>
          <w:szCs w:val="20"/>
          <w:lang w:eastAsia="de-DE"/>
        </w:rPr>
        <w:t>nutzen zu können</w:t>
      </w:r>
      <w:r w:rsidR="008D6DB9" w:rsidRPr="00844270">
        <w:rPr>
          <w:rFonts w:eastAsia="Times New Roman" w:cs="Times New Roman"/>
          <w:b/>
          <w:bCs/>
          <w:i/>
          <w:iCs/>
          <w:szCs w:val="20"/>
          <w:lang w:eastAsia="de-DE"/>
        </w:rPr>
        <w:t>.</w:t>
      </w:r>
    </w:p>
    <w:p w14:paraId="7B21A329" w14:textId="77777777" w:rsidR="008D6DB9" w:rsidRDefault="008D6DB9" w:rsidP="00137EA1">
      <w:pPr>
        <w:rPr>
          <w:rFonts w:eastAsia="Times New Roman" w:cs="Times New Roman"/>
          <w:b/>
          <w:bCs/>
          <w:i/>
          <w:iCs/>
          <w:szCs w:val="20"/>
          <w:lang w:eastAsia="de-DE"/>
        </w:rPr>
      </w:pPr>
    </w:p>
    <w:p w14:paraId="60FB444B" w14:textId="60D3A7C1" w:rsidR="00844270" w:rsidRDefault="00844270" w:rsidP="00E2680A">
      <w:pPr>
        <w:rPr>
          <w:rFonts w:eastAsia="Times New Roman" w:cs="Times New Roman"/>
          <w:szCs w:val="20"/>
          <w:lang w:eastAsia="de-DE"/>
        </w:rPr>
      </w:pPr>
      <w:r>
        <w:rPr>
          <w:rFonts w:eastAsia="Times New Roman" w:cs="Times New Roman"/>
          <w:szCs w:val="20"/>
          <w:lang w:eastAsia="de-DE"/>
        </w:rPr>
        <w:t xml:space="preserve">Der Hersteller bietet eine </w:t>
      </w:r>
      <w:r w:rsidR="00985E10">
        <w:rPr>
          <w:rFonts w:eastAsia="Times New Roman" w:cs="Times New Roman"/>
          <w:szCs w:val="20"/>
          <w:lang w:eastAsia="de-DE"/>
        </w:rPr>
        <w:t>umfangreiche</w:t>
      </w:r>
      <w:r>
        <w:rPr>
          <w:rFonts w:eastAsia="Times New Roman" w:cs="Times New Roman"/>
          <w:szCs w:val="20"/>
          <w:lang w:eastAsia="de-DE"/>
        </w:rPr>
        <w:t xml:space="preserve"> Auswahl an nachhaltigen Dämmstoffen, die </w:t>
      </w:r>
      <w:r w:rsidR="00985E10">
        <w:rPr>
          <w:rFonts w:eastAsia="Times New Roman" w:cs="Times New Roman"/>
          <w:szCs w:val="20"/>
          <w:lang w:eastAsia="de-DE"/>
        </w:rPr>
        <w:t>vom</w:t>
      </w:r>
      <w:r>
        <w:rPr>
          <w:rFonts w:eastAsia="Times New Roman" w:cs="Times New Roman"/>
          <w:szCs w:val="20"/>
          <w:lang w:eastAsia="de-DE"/>
        </w:rPr>
        <w:t xml:space="preserve"> unabhängige</w:t>
      </w:r>
      <w:r w:rsidR="00985E10">
        <w:rPr>
          <w:rFonts w:eastAsia="Times New Roman" w:cs="Times New Roman"/>
          <w:szCs w:val="20"/>
          <w:lang w:eastAsia="de-DE"/>
        </w:rPr>
        <w:t>n</w:t>
      </w:r>
      <w:r>
        <w:rPr>
          <w:rFonts w:eastAsia="Times New Roman" w:cs="Times New Roman"/>
          <w:szCs w:val="20"/>
          <w:lang w:eastAsia="de-DE"/>
        </w:rPr>
        <w:t xml:space="preserve"> </w:t>
      </w:r>
      <w:r w:rsidRPr="006351BD">
        <w:rPr>
          <w:rFonts w:eastAsia="Times New Roman" w:cs="Times New Roman"/>
          <w:szCs w:val="20"/>
          <w:lang w:eastAsia="de-DE"/>
        </w:rPr>
        <w:t>Sentinel Haus Institut</w:t>
      </w:r>
      <w:r w:rsidR="00E2680A">
        <w:rPr>
          <w:rFonts w:eastAsia="Times New Roman" w:cs="Times New Roman"/>
          <w:szCs w:val="20"/>
          <w:lang w:eastAsia="de-DE"/>
        </w:rPr>
        <w:t xml:space="preserve"> </w:t>
      </w:r>
      <w:r w:rsidR="00920637">
        <w:rPr>
          <w:rFonts w:eastAsia="Times New Roman" w:cs="Times New Roman"/>
          <w:szCs w:val="20"/>
          <w:lang w:eastAsia="de-DE"/>
        </w:rPr>
        <w:t xml:space="preserve">entsprechend dem QNG-Anforderungskatalog </w:t>
      </w:r>
      <w:r w:rsidR="005D1801" w:rsidRPr="005D1801">
        <w:rPr>
          <w:rFonts w:eastAsia="Times New Roman" w:cs="Times New Roman"/>
          <w:szCs w:val="20"/>
          <w:lang w:eastAsia="de-DE"/>
        </w:rPr>
        <w:t>(</w:t>
      </w:r>
      <w:proofErr w:type="spellStart"/>
      <w:r w:rsidR="005D1801" w:rsidRPr="005D1801">
        <w:rPr>
          <w:rFonts w:eastAsia="Times New Roman" w:cs="Times New Roman"/>
          <w:szCs w:val="20"/>
          <w:lang w:eastAsia="de-DE"/>
        </w:rPr>
        <w:t>Anhangdokument</w:t>
      </w:r>
      <w:proofErr w:type="spellEnd"/>
      <w:r w:rsidR="005D1801" w:rsidRPr="005D1801">
        <w:rPr>
          <w:rFonts w:eastAsia="Times New Roman" w:cs="Times New Roman"/>
          <w:szCs w:val="20"/>
          <w:lang w:eastAsia="de-DE"/>
        </w:rPr>
        <w:t xml:space="preserve"> 3.1.3) </w:t>
      </w:r>
      <w:r w:rsidR="00E2680A">
        <w:rPr>
          <w:rFonts w:eastAsia="Times New Roman" w:cs="Times New Roman"/>
          <w:szCs w:val="20"/>
          <w:lang w:eastAsia="de-DE"/>
        </w:rPr>
        <w:t xml:space="preserve">zertifiziert </w:t>
      </w:r>
      <w:r w:rsidR="00985E10">
        <w:rPr>
          <w:rFonts w:eastAsia="Times New Roman" w:cs="Times New Roman"/>
          <w:szCs w:val="20"/>
          <w:lang w:eastAsia="de-DE"/>
        </w:rPr>
        <w:t>worden sind</w:t>
      </w:r>
      <w:r w:rsidR="00E2680A">
        <w:rPr>
          <w:rFonts w:eastAsia="Times New Roman" w:cs="Times New Roman"/>
          <w:szCs w:val="20"/>
          <w:lang w:eastAsia="de-DE"/>
        </w:rPr>
        <w:t xml:space="preserve">: von der Einblasdämmung </w:t>
      </w:r>
      <w:r w:rsidR="00985E10">
        <w:rPr>
          <w:rFonts w:eastAsia="Times New Roman" w:cs="Times New Roman"/>
          <w:szCs w:val="20"/>
          <w:lang w:eastAsia="de-DE"/>
        </w:rPr>
        <w:t>sowie</w:t>
      </w:r>
      <w:r w:rsidR="00E2680A">
        <w:rPr>
          <w:rFonts w:eastAsia="Times New Roman" w:cs="Times New Roman"/>
          <w:szCs w:val="20"/>
          <w:lang w:eastAsia="de-DE"/>
        </w:rPr>
        <w:t xml:space="preserve"> </w:t>
      </w:r>
      <w:r w:rsidR="00EF208B">
        <w:rPr>
          <w:rFonts w:eastAsia="Times New Roman" w:cs="Times New Roman"/>
          <w:szCs w:val="20"/>
          <w:lang w:eastAsia="de-DE"/>
        </w:rPr>
        <w:t xml:space="preserve">der </w:t>
      </w:r>
      <w:r w:rsidR="00E2680A">
        <w:rPr>
          <w:rFonts w:eastAsia="Times New Roman" w:cs="Times New Roman"/>
          <w:szCs w:val="20"/>
          <w:lang w:eastAsia="de-DE"/>
        </w:rPr>
        <w:t xml:space="preserve">flexiblen Dämmmatte für Sparren und Ständerwerk über Putzträgerplatten für die Fassadendämmung in ökologischen WDV-Systemen bis hin zu regensicheren Unterdeckplatten für das Dach </w:t>
      </w:r>
      <w:r w:rsidR="00985E10">
        <w:rPr>
          <w:rFonts w:eastAsia="Times New Roman" w:cs="Times New Roman"/>
          <w:szCs w:val="20"/>
          <w:lang w:eastAsia="de-DE"/>
        </w:rPr>
        <w:t>und</w:t>
      </w:r>
      <w:r w:rsidR="00EF208B">
        <w:rPr>
          <w:rFonts w:eastAsia="Times New Roman" w:cs="Times New Roman"/>
          <w:szCs w:val="20"/>
          <w:lang w:eastAsia="de-DE"/>
        </w:rPr>
        <w:t xml:space="preserve"> </w:t>
      </w:r>
      <w:r w:rsidR="00E2680A">
        <w:rPr>
          <w:rFonts w:eastAsia="Times New Roman" w:cs="Times New Roman"/>
          <w:szCs w:val="20"/>
          <w:lang w:eastAsia="de-DE"/>
        </w:rPr>
        <w:t xml:space="preserve">Dämmplatten </w:t>
      </w:r>
      <w:r w:rsidR="00985E10">
        <w:rPr>
          <w:rFonts w:eastAsia="Times New Roman" w:cs="Times New Roman"/>
          <w:szCs w:val="20"/>
          <w:lang w:eastAsia="de-DE"/>
        </w:rPr>
        <w:t>zur</w:t>
      </w:r>
      <w:r w:rsidR="00E2680A">
        <w:rPr>
          <w:rFonts w:eastAsia="Times New Roman" w:cs="Times New Roman"/>
          <w:szCs w:val="20"/>
          <w:lang w:eastAsia="de-DE"/>
        </w:rPr>
        <w:t xml:space="preserve"> Innendämmung. </w:t>
      </w:r>
    </w:p>
    <w:p w14:paraId="413B71F2" w14:textId="0A938365" w:rsidR="006351BD" w:rsidRDefault="005F2738" w:rsidP="00D8045A">
      <w:pPr>
        <w:rPr>
          <w:rFonts w:eastAsia="Times New Roman" w:cs="Times New Roman"/>
          <w:szCs w:val="20"/>
          <w:lang w:eastAsia="de-DE"/>
        </w:rPr>
      </w:pPr>
      <w:r>
        <w:rPr>
          <w:rFonts w:eastAsia="Times New Roman" w:cs="Times New Roman"/>
          <w:szCs w:val="20"/>
          <w:lang w:eastAsia="de-DE"/>
        </w:rPr>
        <w:t>„</w:t>
      </w:r>
      <w:r w:rsidR="00E94385">
        <w:rPr>
          <w:rFonts w:eastAsia="Times New Roman" w:cs="Times New Roman"/>
          <w:szCs w:val="20"/>
          <w:lang w:eastAsia="de-DE"/>
        </w:rPr>
        <w:t>Für</w:t>
      </w:r>
      <w:r w:rsidR="00E2680A">
        <w:rPr>
          <w:rFonts w:eastAsia="Times New Roman" w:cs="Times New Roman"/>
          <w:szCs w:val="20"/>
          <w:lang w:eastAsia="de-DE"/>
        </w:rPr>
        <w:t xml:space="preserve"> unsere Partner in Planung und </w:t>
      </w:r>
      <w:r w:rsidR="00E2680A" w:rsidRPr="00FA0B03">
        <w:rPr>
          <w:rFonts w:eastAsia="Times New Roman" w:cs="Times New Roman"/>
          <w:szCs w:val="20"/>
          <w:lang w:eastAsia="de-DE"/>
        </w:rPr>
        <w:t xml:space="preserve">Handwerk </w:t>
      </w:r>
      <w:r w:rsidR="00985E10">
        <w:rPr>
          <w:rFonts w:eastAsia="Times New Roman" w:cs="Times New Roman"/>
          <w:szCs w:val="20"/>
          <w:lang w:eastAsia="de-DE"/>
        </w:rPr>
        <w:t>ist</w:t>
      </w:r>
      <w:r w:rsidR="00E94385" w:rsidRPr="00FA0B03">
        <w:rPr>
          <w:rFonts w:eastAsia="Times New Roman" w:cs="Times New Roman"/>
          <w:szCs w:val="20"/>
          <w:lang w:eastAsia="de-DE"/>
        </w:rPr>
        <w:t xml:space="preserve"> das Zertifikat </w:t>
      </w:r>
      <w:r w:rsidR="00E2680A" w:rsidRPr="00FA0B03">
        <w:rPr>
          <w:rFonts w:eastAsia="Times New Roman" w:cs="Times New Roman"/>
          <w:szCs w:val="20"/>
          <w:lang w:eastAsia="de-DE"/>
        </w:rPr>
        <w:t xml:space="preserve">eine </w:t>
      </w:r>
      <w:r w:rsidR="00280EB9">
        <w:rPr>
          <w:rFonts w:eastAsia="Times New Roman" w:cs="Times New Roman"/>
          <w:szCs w:val="20"/>
          <w:lang w:eastAsia="de-DE"/>
        </w:rPr>
        <w:t xml:space="preserve">klare </w:t>
      </w:r>
      <w:r w:rsidR="00E2680A" w:rsidRPr="00FA0B03">
        <w:rPr>
          <w:rFonts w:eastAsia="Times New Roman" w:cs="Times New Roman"/>
          <w:szCs w:val="20"/>
          <w:lang w:eastAsia="de-DE"/>
        </w:rPr>
        <w:t>Arbeitserleichterung</w:t>
      </w:r>
      <w:r w:rsidR="00E94385" w:rsidRPr="00FA0B03">
        <w:rPr>
          <w:rFonts w:eastAsia="Times New Roman" w:cs="Times New Roman"/>
          <w:szCs w:val="20"/>
          <w:lang w:eastAsia="de-DE"/>
        </w:rPr>
        <w:t xml:space="preserve">, weil sich </w:t>
      </w:r>
      <w:r w:rsidR="00EF208B">
        <w:rPr>
          <w:rFonts w:eastAsia="Times New Roman" w:cs="Times New Roman"/>
          <w:szCs w:val="20"/>
          <w:lang w:eastAsia="de-DE"/>
        </w:rPr>
        <w:t>ihr</w:t>
      </w:r>
      <w:r w:rsidR="00E94385" w:rsidRPr="00FA0B03">
        <w:rPr>
          <w:rFonts w:eastAsia="Times New Roman" w:cs="Times New Roman"/>
          <w:szCs w:val="20"/>
          <w:lang w:eastAsia="de-DE"/>
        </w:rPr>
        <w:t xml:space="preserve"> Rechercheaufwand </w:t>
      </w:r>
      <w:r w:rsidR="00EF208B">
        <w:rPr>
          <w:rFonts w:eastAsia="Times New Roman" w:cs="Times New Roman"/>
          <w:szCs w:val="20"/>
          <w:lang w:eastAsia="de-DE"/>
        </w:rPr>
        <w:t>verringert</w:t>
      </w:r>
      <w:r w:rsidR="00E2680A" w:rsidRPr="00FA0B03">
        <w:rPr>
          <w:rFonts w:eastAsia="Times New Roman" w:cs="Times New Roman"/>
          <w:szCs w:val="20"/>
          <w:lang w:eastAsia="de-DE"/>
        </w:rPr>
        <w:t xml:space="preserve">“, erläutert </w:t>
      </w:r>
      <w:r w:rsidR="00E2680A" w:rsidRPr="00AE4D6F">
        <w:rPr>
          <w:rFonts w:eastAsia="Times New Roman" w:cs="Times New Roman"/>
          <w:szCs w:val="20"/>
          <w:lang w:eastAsia="de-DE"/>
        </w:rPr>
        <w:t>Rainer Blum, Leiter der Anwendungstechnik bei GUTEX</w:t>
      </w:r>
      <w:r w:rsidR="00E2680A" w:rsidRPr="00FA0B03">
        <w:rPr>
          <w:rFonts w:eastAsia="Times New Roman" w:cs="Times New Roman"/>
          <w:szCs w:val="20"/>
          <w:lang w:eastAsia="de-DE"/>
        </w:rPr>
        <w:t>. „</w:t>
      </w:r>
      <w:r w:rsidR="00E94385" w:rsidRPr="00FA0B03">
        <w:rPr>
          <w:rFonts w:eastAsia="Times New Roman" w:cs="Times New Roman"/>
          <w:szCs w:val="20"/>
          <w:lang w:eastAsia="de-DE"/>
        </w:rPr>
        <w:t>Das</w:t>
      </w:r>
      <w:r w:rsidR="007507D2">
        <w:rPr>
          <w:rFonts w:eastAsia="Times New Roman" w:cs="Times New Roman"/>
          <w:szCs w:val="20"/>
          <w:lang w:eastAsia="de-DE"/>
        </w:rPr>
        <w:t xml:space="preserve"> senkt auch </w:t>
      </w:r>
      <w:r w:rsidR="00985E10">
        <w:rPr>
          <w:rFonts w:eastAsia="Times New Roman" w:cs="Times New Roman"/>
          <w:szCs w:val="20"/>
          <w:lang w:eastAsia="de-DE"/>
        </w:rPr>
        <w:t>die Kosten der</w:t>
      </w:r>
      <w:r w:rsidR="00E94385">
        <w:rPr>
          <w:rFonts w:eastAsia="Times New Roman" w:cs="Times New Roman"/>
          <w:szCs w:val="20"/>
          <w:lang w:eastAsia="de-DE"/>
        </w:rPr>
        <w:t xml:space="preserve"> </w:t>
      </w:r>
      <w:r w:rsidR="00813FD7" w:rsidRPr="00813FD7">
        <w:rPr>
          <w:rFonts w:eastAsia="Times New Roman" w:cs="Times New Roman"/>
          <w:szCs w:val="20"/>
          <w:lang w:eastAsia="de-DE"/>
        </w:rPr>
        <w:t>Nachhaltigkeits-Zertifizierung</w:t>
      </w:r>
      <w:r w:rsidR="00E94385">
        <w:rPr>
          <w:rFonts w:eastAsia="Times New Roman" w:cs="Times New Roman"/>
          <w:szCs w:val="20"/>
          <w:lang w:eastAsia="de-DE"/>
        </w:rPr>
        <w:t>, wovon wiederum die Bauherren profitieren.“</w:t>
      </w:r>
    </w:p>
    <w:p w14:paraId="4C8E4486" w14:textId="00B9B73A" w:rsidR="00227451" w:rsidRDefault="00EA1A55" w:rsidP="00EA1A55">
      <w:pPr>
        <w:rPr>
          <w:rFonts w:eastAsia="Times New Roman" w:cs="Times New Roman"/>
          <w:szCs w:val="20"/>
          <w:lang w:eastAsia="de-DE"/>
        </w:rPr>
      </w:pPr>
      <w:r w:rsidRPr="00EA1A55">
        <w:rPr>
          <w:rFonts w:eastAsia="Times New Roman" w:cs="Times New Roman"/>
          <w:szCs w:val="20"/>
          <w:lang w:eastAsia="de-DE"/>
        </w:rPr>
        <w:t xml:space="preserve">In der frei zugänglichen </w:t>
      </w:r>
      <w:r w:rsidR="00E73D3E">
        <w:rPr>
          <w:rFonts w:eastAsia="Times New Roman" w:cs="Times New Roman"/>
          <w:szCs w:val="20"/>
          <w:lang w:eastAsia="de-DE"/>
        </w:rPr>
        <w:t>SHI-</w:t>
      </w:r>
      <w:r w:rsidRPr="00EA1A55">
        <w:rPr>
          <w:rFonts w:eastAsia="Times New Roman" w:cs="Times New Roman"/>
          <w:szCs w:val="20"/>
          <w:lang w:eastAsia="de-DE"/>
        </w:rPr>
        <w:t xml:space="preserve">Datenbank </w:t>
      </w:r>
      <w:r w:rsidR="00280EB9">
        <w:rPr>
          <w:rFonts w:eastAsia="Times New Roman" w:cs="Times New Roman"/>
          <w:szCs w:val="20"/>
          <w:lang w:eastAsia="de-DE"/>
        </w:rPr>
        <w:t xml:space="preserve">sowie der Website des Herstellers </w:t>
      </w:r>
      <w:r w:rsidRPr="00EA1A55">
        <w:rPr>
          <w:rFonts w:eastAsia="Times New Roman" w:cs="Times New Roman"/>
          <w:szCs w:val="20"/>
          <w:lang w:eastAsia="de-DE"/>
        </w:rPr>
        <w:t xml:space="preserve">sind die </w:t>
      </w:r>
      <w:r>
        <w:rPr>
          <w:rFonts w:eastAsia="Times New Roman" w:cs="Times New Roman"/>
          <w:szCs w:val="20"/>
          <w:lang w:eastAsia="de-DE"/>
        </w:rPr>
        <w:t xml:space="preserve">GUTEX </w:t>
      </w:r>
      <w:r w:rsidRPr="00EA1A55">
        <w:rPr>
          <w:rFonts w:eastAsia="Times New Roman" w:cs="Times New Roman"/>
          <w:szCs w:val="20"/>
          <w:lang w:eastAsia="de-DE"/>
        </w:rPr>
        <w:t>Produkte inklusive Zertifikat jederzeit abrufbar</w:t>
      </w:r>
      <w:r>
        <w:rPr>
          <w:rFonts w:eastAsia="Times New Roman" w:cs="Times New Roman"/>
          <w:szCs w:val="20"/>
          <w:lang w:eastAsia="de-DE"/>
        </w:rPr>
        <w:t xml:space="preserve"> und bieten so</w:t>
      </w:r>
      <w:r w:rsidR="00256438">
        <w:rPr>
          <w:rFonts w:eastAsia="Times New Roman" w:cs="Times New Roman"/>
          <w:szCs w:val="20"/>
          <w:lang w:eastAsia="de-DE"/>
        </w:rPr>
        <w:t xml:space="preserve"> vereinfachten</w:t>
      </w:r>
      <w:r>
        <w:rPr>
          <w:rFonts w:eastAsia="Times New Roman" w:cs="Times New Roman"/>
          <w:szCs w:val="20"/>
          <w:lang w:eastAsia="de-DE"/>
        </w:rPr>
        <w:t xml:space="preserve"> Zugang zu den</w:t>
      </w:r>
      <w:r w:rsidRPr="00EA1A55">
        <w:rPr>
          <w:rFonts w:eastAsia="Times New Roman" w:cs="Times New Roman"/>
          <w:szCs w:val="20"/>
          <w:lang w:eastAsia="de-DE"/>
        </w:rPr>
        <w:t xml:space="preserve"> Förderprogramme</w:t>
      </w:r>
      <w:r>
        <w:rPr>
          <w:rFonts w:eastAsia="Times New Roman" w:cs="Times New Roman"/>
          <w:szCs w:val="20"/>
          <w:lang w:eastAsia="de-DE"/>
        </w:rPr>
        <w:t>n</w:t>
      </w:r>
      <w:r w:rsidRPr="00EA1A55">
        <w:rPr>
          <w:rFonts w:eastAsia="Times New Roman" w:cs="Times New Roman"/>
          <w:szCs w:val="20"/>
          <w:lang w:eastAsia="de-DE"/>
        </w:rPr>
        <w:t xml:space="preserve"> Klimafreundlicher Neubau (KFN) und Bundesförderung für effiziente Gebäude (BEG)</w:t>
      </w:r>
      <w:r>
        <w:rPr>
          <w:rFonts w:eastAsia="Times New Roman" w:cs="Times New Roman"/>
          <w:szCs w:val="20"/>
          <w:lang w:eastAsia="de-DE"/>
        </w:rPr>
        <w:t>.</w:t>
      </w:r>
      <w:r w:rsidR="00227451">
        <w:rPr>
          <w:rFonts w:eastAsia="Times New Roman" w:cs="Times New Roman"/>
          <w:szCs w:val="20"/>
          <w:lang w:eastAsia="de-DE"/>
        </w:rPr>
        <w:t xml:space="preserve"> Im Vergleich zu </w:t>
      </w:r>
      <w:r w:rsidR="00227451" w:rsidRPr="00227451">
        <w:rPr>
          <w:rFonts w:eastAsia="Times New Roman" w:cs="Times New Roman"/>
          <w:szCs w:val="20"/>
          <w:lang w:eastAsia="de-DE"/>
        </w:rPr>
        <w:t>förderfähigen Wohngebäuden ohne QNG erhöht sich die geförderte Kreditsumme bei einem klimafreundlichen Wohngebäude mit QNG von 100.000 auf 150.000 Euro je Wohneinheit.</w:t>
      </w:r>
      <w:r w:rsidR="00256438">
        <w:rPr>
          <w:rFonts w:eastAsia="Times New Roman" w:cs="Times New Roman"/>
          <w:szCs w:val="20"/>
          <w:lang w:eastAsia="de-DE"/>
        </w:rPr>
        <w:t xml:space="preserve"> Im </w:t>
      </w:r>
      <w:r w:rsidR="00256438">
        <w:rPr>
          <w:rFonts w:eastAsia="Times New Roman" w:cs="Times New Roman"/>
          <w:szCs w:val="20"/>
          <w:lang w:eastAsia="de-DE"/>
        </w:rPr>
        <w:lastRenderedPageBreak/>
        <w:t>Rahmen der neuen KfW-Programme für Familien sind es</w:t>
      </w:r>
      <w:r w:rsidR="00E73D3E">
        <w:rPr>
          <w:rFonts w:eastAsia="Times New Roman" w:cs="Times New Roman"/>
          <w:szCs w:val="20"/>
          <w:lang w:eastAsia="de-DE"/>
        </w:rPr>
        <w:t>,</w:t>
      </w:r>
      <w:r w:rsidR="00256438">
        <w:rPr>
          <w:rFonts w:eastAsia="Times New Roman" w:cs="Times New Roman"/>
          <w:szCs w:val="20"/>
          <w:lang w:eastAsia="de-DE"/>
        </w:rPr>
        <w:t xml:space="preserve"> je nach </w:t>
      </w:r>
      <w:r w:rsidR="00E73D3E">
        <w:rPr>
          <w:rFonts w:eastAsia="Times New Roman" w:cs="Times New Roman"/>
          <w:szCs w:val="20"/>
          <w:lang w:eastAsia="de-DE"/>
        </w:rPr>
        <w:t>Anz</w:t>
      </w:r>
      <w:r w:rsidR="00256438">
        <w:rPr>
          <w:rFonts w:eastAsia="Times New Roman" w:cs="Times New Roman"/>
          <w:szCs w:val="20"/>
          <w:lang w:eastAsia="de-DE"/>
        </w:rPr>
        <w:t>ahl der Kinder</w:t>
      </w:r>
      <w:r w:rsidR="00E73D3E">
        <w:rPr>
          <w:rFonts w:eastAsia="Times New Roman" w:cs="Times New Roman"/>
          <w:szCs w:val="20"/>
          <w:lang w:eastAsia="de-DE"/>
        </w:rPr>
        <w:t xml:space="preserve"> im Haushalt,</w:t>
      </w:r>
      <w:r w:rsidR="00256438">
        <w:rPr>
          <w:rFonts w:eastAsia="Times New Roman" w:cs="Times New Roman"/>
          <w:szCs w:val="20"/>
          <w:lang w:eastAsia="de-DE"/>
        </w:rPr>
        <w:t xml:space="preserve"> mit QNG sogar bis zu 270.00</w:t>
      </w:r>
      <w:r w:rsidR="00DB3B50">
        <w:rPr>
          <w:rFonts w:eastAsia="Times New Roman" w:cs="Times New Roman"/>
          <w:szCs w:val="20"/>
          <w:lang w:eastAsia="de-DE"/>
        </w:rPr>
        <w:t>0 Euro</w:t>
      </w:r>
      <w:r w:rsidR="00256438">
        <w:rPr>
          <w:rFonts w:eastAsia="Times New Roman" w:cs="Times New Roman"/>
          <w:szCs w:val="20"/>
          <w:lang w:eastAsia="de-DE"/>
        </w:rPr>
        <w:t xml:space="preserve"> je Wohneinheit.</w:t>
      </w:r>
    </w:p>
    <w:p w14:paraId="2B046310" w14:textId="4538E40D" w:rsidR="00227451" w:rsidRPr="00227451" w:rsidRDefault="00227451" w:rsidP="00EA1A55">
      <w:pPr>
        <w:rPr>
          <w:rFonts w:eastAsia="Times New Roman" w:cs="Times New Roman"/>
          <w:b/>
          <w:bCs/>
          <w:szCs w:val="20"/>
          <w:lang w:eastAsia="de-DE"/>
        </w:rPr>
      </w:pPr>
      <w:r w:rsidRPr="00227451">
        <w:rPr>
          <w:rFonts w:eastAsia="Times New Roman" w:cs="Times New Roman"/>
          <w:b/>
          <w:bCs/>
          <w:szCs w:val="20"/>
          <w:lang w:eastAsia="de-DE"/>
        </w:rPr>
        <w:t>Verlässlicher Partner</w:t>
      </w:r>
    </w:p>
    <w:p w14:paraId="026A07C9" w14:textId="3B15C4EC" w:rsidR="00D74DB8" w:rsidRPr="00EA1A55" w:rsidRDefault="00D74DB8" w:rsidP="00D74DB8">
      <w:pPr>
        <w:rPr>
          <w:rFonts w:eastAsia="Times New Roman" w:cs="Times New Roman"/>
          <w:szCs w:val="20"/>
          <w:lang w:eastAsia="de-DE"/>
        </w:rPr>
      </w:pPr>
      <w:r>
        <w:rPr>
          <w:rFonts w:eastAsia="Times New Roman" w:cs="Times New Roman"/>
          <w:szCs w:val="20"/>
          <w:lang w:eastAsia="de-DE"/>
        </w:rPr>
        <w:t xml:space="preserve">Nicht nur die neun zertifizierten </w:t>
      </w:r>
      <w:r w:rsidR="00EF208B">
        <w:rPr>
          <w:rFonts w:eastAsia="Times New Roman" w:cs="Times New Roman"/>
          <w:szCs w:val="20"/>
          <w:lang w:eastAsia="de-DE"/>
        </w:rPr>
        <w:t xml:space="preserve">GUTEX </w:t>
      </w:r>
      <w:r>
        <w:rPr>
          <w:rFonts w:eastAsia="Times New Roman" w:cs="Times New Roman"/>
          <w:szCs w:val="20"/>
          <w:lang w:eastAsia="de-DE"/>
        </w:rPr>
        <w:t xml:space="preserve">Produkte </w:t>
      </w:r>
      <w:r w:rsidR="00E94385">
        <w:rPr>
          <w:rFonts w:eastAsia="Times New Roman" w:cs="Times New Roman"/>
          <w:szCs w:val="20"/>
          <w:lang w:eastAsia="de-DE"/>
        </w:rPr>
        <w:t xml:space="preserve">entsprechen den hohen </w:t>
      </w:r>
      <w:r w:rsidR="00985E10">
        <w:rPr>
          <w:rFonts w:eastAsia="Times New Roman" w:cs="Times New Roman"/>
          <w:szCs w:val="20"/>
          <w:lang w:eastAsia="de-DE"/>
        </w:rPr>
        <w:t>QNG-</w:t>
      </w:r>
      <w:r w:rsidR="00E94385">
        <w:rPr>
          <w:rFonts w:eastAsia="Times New Roman" w:cs="Times New Roman"/>
          <w:szCs w:val="20"/>
          <w:lang w:eastAsia="de-DE"/>
        </w:rPr>
        <w:t>Anforderungen an emissionsarme</w:t>
      </w:r>
      <w:r w:rsidR="00EF208B">
        <w:rPr>
          <w:rFonts w:eastAsia="Times New Roman" w:cs="Times New Roman"/>
          <w:szCs w:val="20"/>
          <w:lang w:eastAsia="de-DE"/>
        </w:rPr>
        <w:t xml:space="preserve"> und</w:t>
      </w:r>
      <w:r w:rsidR="00E94385">
        <w:rPr>
          <w:rFonts w:eastAsia="Times New Roman" w:cs="Times New Roman"/>
          <w:szCs w:val="20"/>
          <w:lang w:eastAsia="de-DE"/>
        </w:rPr>
        <w:t xml:space="preserve"> schadstoffgeprüfte Baumaterialie</w:t>
      </w:r>
      <w:r w:rsidR="007507D2">
        <w:rPr>
          <w:rFonts w:eastAsia="Times New Roman" w:cs="Times New Roman"/>
          <w:szCs w:val="20"/>
          <w:lang w:eastAsia="de-DE"/>
        </w:rPr>
        <w:t>n</w:t>
      </w:r>
      <w:r w:rsidR="00985E10">
        <w:rPr>
          <w:rFonts w:eastAsia="Times New Roman" w:cs="Times New Roman"/>
          <w:szCs w:val="20"/>
          <w:lang w:eastAsia="de-DE"/>
        </w:rPr>
        <w:t>.</w:t>
      </w:r>
      <w:r>
        <w:rPr>
          <w:rFonts w:eastAsia="Times New Roman" w:cs="Times New Roman"/>
          <w:szCs w:val="20"/>
          <w:lang w:eastAsia="de-DE"/>
        </w:rPr>
        <w:t xml:space="preserve"> </w:t>
      </w:r>
      <w:r w:rsidRPr="005F2738">
        <w:rPr>
          <w:rFonts w:eastAsia="Times New Roman" w:cs="Times New Roman"/>
          <w:szCs w:val="20"/>
          <w:lang w:eastAsia="de-DE"/>
        </w:rPr>
        <w:t>Grundsätzlich eignen sich</w:t>
      </w:r>
      <w:r>
        <w:rPr>
          <w:rFonts w:eastAsia="Times New Roman" w:cs="Times New Roman"/>
          <w:szCs w:val="20"/>
          <w:lang w:eastAsia="de-DE"/>
        </w:rPr>
        <w:t xml:space="preserve"> </w:t>
      </w:r>
      <w:r w:rsidRPr="005F2738">
        <w:rPr>
          <w:rFonts w:eastAsia="Times New Roman" w:cs="Times New Roman"/>
          <w:szCs w:val="20"/>
          <w:lang w:eastAsia="de-DE"/>
        </w:rPr>
        <w:t xml:space="preserve">alle Dämmstoffe </w:t>
      </w:r>
      <w:r w:rsidR="00EF208B">
        <w:rPr>
          <w:rFonts w:eastAsia="Times New Roman" w:cs="Times New Roman"/>
          <w:szCs w:val="20"/>
          <w:lang w:eastAsia="de-DE"/>
        </w:rPr>
        <w:t xml:space="preserve">des Herstellers </w:t>
      </w:r>
      <w:r w:rsidRPr="005F2738">
        <w:rPr>
          <w:rFonts w:eastAsia="Times New Roman" w:cs="Times New Roman"/>
          <w:szCs w:val="20"/>
          <w:lang w:eastAsia="de-DE"/>
        </w:rPr>
        <w:t>für Projekte auf d</w:t>
      </w:r>
      <w:r w:rsidR="00985E10">
        <w:rPr>
          <w:rFonts w:eastAsia="Times New Roman" w:cs="Times New Roman"/>
          <w:szCs w:val="20"/>
          <w:lang w:eastAsia="de-DE"/>
        </w:rPr>
        <w:t>ies</w:t>
      </w:r>
      <w:r w:rsidRPr="005F2738">
        <w:rPr>
          <w:rFonts w:eastAsia="Times New Roman" w:cs="Times New Roman"/>
          <w:szCs w:val="20"/>
          <w:lang w:eastAsia="de-DE"/>
        </w:rPr>
        <w:t>em anspruchsvollen Förderniveau</w:t>
      </w:r>
      <w:r>
        <w:rPr>
          <w:rFonts w:eastAsia="Times New Roman" w:cs="Times New Roman"/>
          <w:szCs w:val="20"/>
          <w:lang w:eastAsia="de-DE"/>
        </w:rPr>
        <w:t xml:space="preserve">. </w:t>
      </w:r>
      <w:r w:rsidRPr="00D74DB8">
        <w:rPr>
          <w:rFonts w:eastAsia="Times New Roman" w:cs="Times New Roman"/>
          <w:szCs w:val="20"/>
          <w:lang w:eastAsia="de-DE"/>
        </w:rPr>
        <w:t>Bescheinigung</w:t>
      </w:r>
      <w:r w:rsidR="00555523">
        <w:rPr>
          <w:rFonts w:eastAsia="Times New Roman" w:cs="Times New Roman"/>
          <w:szCs w:val="20"/>
          <w:lang w:eastAsia="de-DE"/>
        </w:rPr>
        <w:t>en</w:t>
      </w:r>
      <w:r w:rsidR="00E2680A">
        <w:rPr>
          <w:rFonts w:eastAsia="Times New Roman" w:cs="Times New Roman"/>
          <w:szCs w:val="20"/>
          <w:lang w:eastAsia="de-DE"/>
        </w:rPr>
        <w:t xml:space="preserve"> </w:t>
      </w:r>
      <w:r w:rsidR="00EF208B">
        <w:rPr>
          <w:rFonts w:eastAsia="Times New Roman" w:cs="Times New Roman"/>
          <w:szCs w:val="20"/>
          <w:lang w:eastAsia="de-DE"/>
        </w:rPr>
        <w:t xml:space="preserve">können </w:t>
      </w:r>
      <w:r w:rsidR="00E2680A">
        <w:rPr>
          <w:rFonts w:eastAsia="Times New Roman" w:cs="Times New Roman"/>
          <w:szCs w:val="20"/>
          <w:lang w:eastAsia="de-DE"/>
        </w:rPr>
        <w:t xml:space="preserve">auf Anfrage zur Verfügung </w:t>
      </w:r>
      <w:r w:rsidR="00EF208B">
        <w:rPr>
          <w:rFonts w:eastAsia="Times New Roman" w:cs="Times New Roman"/>
          <w:szCs w:val="20"/>
          <w:lang w:eastAsia="de-DE"/>
        </w:rPr>
        <w:t>gestellt werden</w:t>
      </w:r>
      <w:r w:rsidR="00E2680A">
        <w:rPr>
          <w:rFonts w:eastAsia="Times New Roman" w:cs="Times New Roman"/>
          <w:szCs w:val="20"/>
          <w:lang w:eastAsia="de-DE"/>
        </w:rPr>
        <w:t>.</w:t>
      </w:r>
    </w:p>
    <w:p w14:paraId="6AF20F71" w14:textId="7D5944C8" w:rsidR="00D74DB8" w:rsidRDefault="00DC4AD7" w:rsidP="00EA1A55">
      <w:pPr>
        <w:rPr>
          <w:rFonts w:eastAsia="Times New Roman" w:cs="Times New Roman"/>
          <w:szCs w:val="20"/>
          <w:lang w:eastAsia="de-DE"/>
        </w:rPr>
      </w:pPr>
      <w:r>
        <w:rPr>
          <w:rFonts w:eastAsia="Times New Roman" w:cs="Times New Roman"/>
          <w:szCs w:val="20"/>
          <w:lang w:eastAsia="de-DE"/>
        </w:rPr>
        <w:t xml:space="preserve">Die </w:t>
      </w:r>
      <w:r w:rsidR="00EF208B">
        <w:rPr>
          <w:rFonts w:eastAsia="Times New Roman" w:cs="Times New Roman"/>
          <w:szCs w:val="20"/>
          <w:lang w:eastAsia="de-DE"/>
        </w:rPr>
        <w:t>jüngste</w:t>
      </w:r>
      <w:r w:rsidR="00E94385">
        <w:rPr>
          <w:rFonts w:eastAsia="Times New Roman" w:cs="Times New Roman"/>
          <w:szCs w:val="20"/>
          <w:lang w:eastAsia="de-DE"/>
        </w:rPr>
        <w:t xml:space="preserve"> Zertifizierung </w:t>
      </w:r>
      <w:r>
        <w:rPr>
          <w:rFonts w:eastAsia="Times New Roman" w:cs="Times New Roman"/>
          <w:szCs w:val="20"/>
          <w:lang w:eastAsia="de-DE"/>
        </w:rPr>
        <w:t>unterstreicht den</w:t>
      </w:r>
      <w:r w:rsidR="00E94385">
        <w:rPr>
          <w:rFonts w:eastAsia="Times New Roman" w:cs="Times New Roman"/>
          <w:szCs w:val="20"/>
          <w:lang w:eastAsia="de-DE"/>
        </w:rPr>
        <w:t xml:space="preserve"> Anspruch </w:t>
      </w:r>
      <w:r>
        <w:rPr>
          <w:rFonts w:eastAsia="Times New Roman" w:cs="Times New Roman"/>
          <w:szCs w:val="20"/>
          <w:lang w:eastAsia="de-DE"/>
        </w:rPr>
        <w:t xml:space="preserve">des Herstellers </w:t>
      </w:r>
      <w:r w:rsidR="00E94385">
        <w:rPr>
          <w:rFonts w:eastAsia="Times New Roman" w:cs="Times New Roman"/>
          <w:szCs w:val="20"/>
          <w:lang w:eastAsia="de-DE"/>
        </w:rPr>
        <w:t xml:space="preserve">als </w:t>
      </w:r>
      <w:r w:rsidR="00D74DB8">
        <w:rPr>
          <w:rFonts w:eastAsia="Times New Roman" w:cs="Times New Roman"/>
          <w:szCs w:val="20"/>
          <w:lang w:eastAsia="de-DE"/>
        </w:rPr>
        <w:t>verlässlicher Partner</w:t>
      </w:r>
      <w:r w:rsidR="00985E10">
        <w:rPr>
          <w:rFonts w:eastAsia="Times New Roman" w:cs="Times New Roman"/>
          <w:szCs w:val="20"/>
          <w:lang w:eastAsia="de-DE"/>
        </w:rPr>
        <w:t xml:space="preserve">, der </w:t>
      </w:r>
      <w:r w:rsidR="00CF724B" w:rsidRPr="00CF724B">
        <w:rPr>
          <w:rFonts w:eastAsia="Times New Roman" w:cs="Times New Roman"/>
          <w:szCs w:val="20"/>
          <w:lang w:eastAsia="de-DE"/>
        </w:rPr>
        <w:t xml:space="preserve">konsequent </w:t>
      </w:r>
      <w:r w:rsidR="00985E10">
        <w:rPr>
          <w:rFonts w:eastAsia="Times New Roman" w:cs="Times New Roman"/>
          <w:szCs w:val="20"/>
          <w:lang w:eastAsia="de-DE"/>
        </w:rPr>
        <w:t xml:space="preserve">für </w:t>
      </w:r>
      <w:r w:rsidR="007507D2">
        <w:rPr>
          <w:rFonts w:eastAsia="Times New Roman" w:cs="Times New Roman"/>
          <w:szCs w:val="20"/>
          <w:lang w:eastAsia="de-DE"/>
        </w:rPr>
        <w:t>einen</w:t>
      </w:r>
      <w:r w:rsidR="00985E10">
        <w:rPr>
          <w:rFonts w:eastAsia="Times New Roman" w:cs="Times New Roman"/>
          <w:szCs w:val="20"/>
          <w:lang w:eastAsia="de-DE"/>
        </w:rPr>
        <w:t xml:space="preserve"> </w:t>
      </w:r>
      <w:r w:rsidRPr="00CF724B">
        <w:rPr>
          <w:rFonts w:eastAsia="Times New Roman" w:cs="Times New Roman"/>
          <w:szCs w:val="20"/>
          <w:lang w:eastAsia="de-DE"/>
        </w:rPr>
        <w:t xml:space="preserve">nachhaltigen Umgang </w:t>
      </w:r>
      <w:r w:rsidR="00D74DB8" w:rsidRPr="00CF724B">
        <w:rPr>
          <w:rFonts w:eastAsia="Times New Roman" w:cs="Times New Roman"/>
          <w:szCs w:val="20"/>
          <w:lang w:eastAsia="de-DE"/>
        </w:rPr>
        <w:t>mit Ressourcen</w:t>
      </w:r>
      <w:r w:rsidR="00EF208B" w:rsidRPr="00CF724B">
        <w:rPr>
          <w:rFonts w:eastAsia="Times New Roman" w:cs="Times New Roman"/>
          <w:szCs w:val="20"/>
          <w:lang w:eastAsia="de-DE"/>
        </w:rPr>
        <w:t xml:space="preserve"> </w:t>
      </w:r>
      <w:r w:rsidR="00985E10">
        <w:rPr>
          <w:rFonts w:eastAsia="Times New Roman" w:cs="Times New Roman"/>
          <w:szCs w:val="20"/>
          <w:lang w:eastAsia="de-DE"/>
        </w:rPr>
        <w:t>eintritt</w:t>
      </w:r>
      <w:r w:rsidRPr="00CF724B">
        <w:rPr>
          <w:rFonts w:eastAsia="Times New Roman" w:cs="Times New Roman"/>
          <w:szCs w:val="20"/>
          <w:lang w:eastAsia="de-DE"/>
        </w:rPr>
        <w:t xml:space="preserve">. Das </w:t>
      </w:r>
      <w:r w:rsidR="00EF208B" w:rsidRPr="00CF724B">
        <w:rPr>
          <w:rFonts w:eastAsia="Times New Roman" w:cs="Times New Roman"/>
          <w:szCs w:val="20"/>
          <w:lang w:eastAsia="de-DE"/>
        </w:rPr>
        <w:t>belegen</w:t>
      </w:r>
      <w:r w:rsidRPr="00CF724B">
        <w:rPr>
          <w:rFonts w:eastAsia="Times New Roman" w:cs="Times New Roman"/>
          <w:szCs w:val="20"/>
          <w:lang w:eastAsia="de-DE"/>
        </w:rPr>
        <w:t xml:space="preserve"> auch das „</w:t>
      </w:r>
      <w:proofErr w:type="spellStart"/>
      <w:r w:rsidR="00D74DB8" w:rsidRPr="00CF724B">
        <w:rPr>
          <w:rFonts w:eastAsia="Times New Roman" w:cs="Times New Roman"/>
          <w:szCs w:val="20"/>
          <w:lang w:eastAsia="de-DE"/>
        </w:rPr>
        <w:t>natureplus</w:t>
      </w:r>
      <w:proofErr w:type="spellEnd"/>
      <w:r w:rsidRPr="00CF724B">
        <w:rPr>
          <w:rFonts w:eastAsia="Times New Roman" w:cs="Times New Roman"/>
          <w:szCs w:val="20"/>
          <w:lang w:eastAsia="de-DE"/>
        </w:rPr>
        <w:t>“-</w:t>
      </w:r>
      <w:r w:rsidR="00D74DB8" w:rsidRPr="00CF724B">
        <w:rPr>
          <w:rFonts w:eastAsia="Times New Roman" w:cs="Times New Roman"/>
          <w:szCs w:val="20"/>
          <w:lang w:eastAsia="de-DE"/>
        </w:rPr>
        <w:t>Prüfsiegel</w:t>
      </w:r>
      <w:r w:rsidR="00AE323E">
        <w:rPr>
          <w:rFonts w:eastAsia="Times New Roman" w:cs="Times New Roman"/>
          <w:szCs w:val="20"/>
          <w:lang w:eastAsia="de-DE"/>
        </w:rPr>
        <w:t xml:space="preserve"> für viele GUTEX Produkte</w:t>
      </w:r>
      <w:r w:rsidR="00D74DB8" w:rsidRPr="00CF724B">
        <w:rPr>
          <w:rFonts w:eastAsia="Times New Roman" w:cs="Times New Roman"/>
          <w:szCs w:val="20"/>
          <w:lang w:eastAsia="de-DE"/>
        </w:rPr>
        <w:t xml:space="preserve"> </w:t>
      </w:r>
      <w:r w:rsidR="00555523" w:rsidRPr="00CF724B">
        <w:rPr>
          <w:rFonts w:eastAsia="Times New Roman" w:cs="Times New Roman"/>
          <w:szCs w:val="20"/>
          <w:lang w:eastAsia="de-DE"/>
        </w:rPr>
        <w:t>sowie</w:t>
      </w:r>
      <w:r w:rsidR="00D74DB8" w:rsidRPr="00CF724B">
        <w:rPr>
          <w:rFonts w:eastAsia="Times New Roman" w:cs="Times New Roman"/>
          <w:szCs w:val="20"/>
          <w:lang w:eastAsia="de-DE"/>
        </w:rPr>
        <w:t xml:space="preserve"> </w:t>
      </w:r>
      <w:r w:rsidR="00555523" w:rsidRPr="00CF724B">
        <w:rPr>
          <w:rFonts w:eastAsia="Times New Roman" w:cs="Times New Roman"/>
          <w:szCs w:val="20"/>
          <w:lang w:eastAsia="de-DE"/>
        </w:rPr>
        <w:t xml:space="preserve">die </w:t>
      </w:r>
      <w:r w:rsidR="00D74DB8" w:rsidRPr="00CF724B">
        <w:t xml:space="preserve">Umwelterklärung nach </w:t>
      </w:r>
      <w:r w:rsidR="00D74DB8" w:rsidRPr="00CF724B">
        <w:rPr>
          <w:rFonts w:eastAsia="Times New Roman" w:cs="Times New Roman"/>
          <w:szCs w:val="20"/>
          <w:lang w:eastAsia="de-DE"/>
        </w:rPr>
        <w:t>EMAS</w:t>
      </w:r>
      <w:r w:rsidR="00AE323E">
        <w:rPr>
          <w:rFonts w:eastAsia="Times New Roman" w:cs="Times New Roman"/>
          <w:szCs w:val="20"/>
          <w:lang w:eastAsia="de-DE"/>
        </w:rPr>
        <w:t xml:space="preserve"> für das Unternehmen</w:t>
      </w:r>
      <w:r w:rsidRPr="00CF724B">
        <w:rPr>
          <w:rFonts w:eastAsia="Times New Roman" w:cs="Times New Roman"/>
          <w:szCs w:val="20"/>
          <w:lang w:eastAsia="de-DE"/>
        </w:rPr>
        <w:t xml:space="preserve">. </w:t>
      </w:r>
      <w:r w:rsidR="007507D2">
        <w:rPr>
          <w:rFonts w:eastAsia="Times New Roman" w:cs="Times New Roman"/>
          <w:szCs w:val="20"/>
          <w:lang w:eastAsia="de-DE"/>
        </w:rPr>
        <w:t xml:space="preserve">Das Holz für Produkte von GUTEX stammt ausschließlich aus </w:t>
      </w:r>
      <w:r w:rsidR="00985E10">
        <w:t>zertifizierter</w:t>
      </w:r>
      <w:r w:rsidR="007507D2">
        <w:t xml:space="preserve"> </w:t>
      </w:r>
      <w:r w:rsidR="00985E10">
        <w:t>regionaler Forstwirtschaft</w:t>
      </w:r>
      <w:r w:rsidR="00D74DB8" w:rsidRPr="00CF724B">
        <w:t>.</w:t>
      </w:r>
    </w:p>
    <w:p w14:paraId="03139F61" w14:textId="77777777" w:rsidR="00F27A57" w:rsidRPr="0009440A" w:rsidRDefault="00F27A57" w:rsidP="00F27A57">
      <w:pPr>
        <w:widowControl w:val="0"/>
        <w:autoSpaceDE w:val="0"/>
        <w:autoSpaceDN w:val="0"/>
        <w:adjustRightInd w:val="0"/>
        <w:spacing w:line="240" w:lineRule="auto"/>
        <w:rPr>
          <w:rFonts w:eastAsiaTheme="majorEastAsia" w:cstheme="majorBidi"/>
        </w:rPr>
      </w:pPr>
    </w:p>
    <w:p w14:paraId="3FA6A0F7" w14:textId="29C1B7B7" w:rsidR="00F27A57" w:rsidRPr="0009440A" w:rsidRDefault="005D6DB7" w:rsidP="00F27A57">
      <w:pPr>
        <w:widowControl w:val="0"/>
        <w:autoSpaceDE w:val="0"/>
        <w:autoSpaceDN w:val="0"/>
        <w:adjustRightInd w:val="0"/>
        <w:spacing w:line="240" w:lineRule="auto"/>
        <w:rPr>
          <w:rFonts w:eastAsiaTheme="majorEastAsia" w:cstheme="majorBidi"/>
          <w:b/>
          <w:bCs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5D9E5BF1" wp14:editId="3F7E1288">
            <wp:simplePos x="0" y="0"/>
            <wp:positionH relativeFrom="column">
              <wp:posOffset>-5715</wp:posOffset>
            </wp:positionH>
            <wp:positionV relativeFrom="paragraph">
              <wp:posOffset>238760</wp:posOffset>
            </wp:positionV>
            <wp:extent cx="2882900" cy="2073275"/>
            <wp:effectExtent l="0" t="0" r="0" b="0"/>
            <wp:wrapTight wrapText="bothSides">
              <wp:wrapPolygon edited="0">
                <wp:start x="0" y="0"/>
                <wp:lineTo x="0" y="21435"/>
                <wp:lineTo x="21505" y="21435"/>
                <wp:lineTo x="21505" y="0"/>
                <wp:lineTo x="0" y="0"/>
              </wp:wrapPolygon>
            </wp:wrapTight>
            <wp:docPr id="43110825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1108255" name="Grafik 431108255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2900" cy="2073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7A57" w:rsidRPr="0009440A">
        <w:rPr>
          <w:rFonts w:eastAsiaTheme="majorEastAsia" w:cstheme="majorBidi"/>
          <w:b/>
          <w:bCs/>
        </w:rPr>
        <w:t>Abbildungen</w:t>
      </w:r>
    </w:p>
    <w:p w14:paraId="63A7CE57" w14:textId="6526D666" w:rsidR="00067163" w:rsidRPr="00E73D3E" w:rsidRDefault="00067163" w:rsidP="000130EC">
      <w:pPr>
        <w:widowControl w:val="0"/>
        <w:autoSpaceDE w:val="0"/>
        <w:autoSpaceDN w:val="0"/>
        <w:adjustRightInd w:val="0"/>
        <w:ind w:left="3402"/>
        <w:rPr>
          <w:rFonts w:eastAsia="Times New Roman" w:cs="Times New Roman"/>
          <w:szCs w:val="20"/>
          <w:lang w:eastAsia="de-DE"/>
        </w:rPr>
      </w:pPr>
      <w:r w:rsidRPr="00E73D3E">
        <w:rPr>
          <w:rFonts w:eastAsia="Times New Roman" w:cs="Times New Roman"/>
          <w:szCs w:val="20"/>
          <w:lang w:eastAsia="de-DE"/>
        </w:rPr>
        <w:t xml:space="preserve">Neun GUTEX Produkte sind vom Sentinel Haus Institut als „QNG </w:t>
      </w:r>
      <w:proofErr w:type="spellStart"/>
      <w:r w:rsidR="00E73D3E">
        <w:rPr>
          <w:rFonts w:eastAsia="Times New Roman" w:cs="Times New Roman"/>
          <w:szCs w:val="20"/>
          <w:lang w:eastAsia="de-DE"/>
        </w:rPr>
        <w:t>r</w:t>
      </w:r>
      <w:r w:rsidRPr="00E73D3E">
        <w:rPr>
          <w:rFonts w:eastAsia="Times New Roman" w:cs="Times New Roman"/>
          <w:szCs w:val="20"/>
          <w:lang w:eastAsia="de-DE"/>
        </w:rPr>
        <w:t>eady</w:t>
      </w:r>
      <w:proofErr w:type="spellEnd"/>
      <w:r w:rsidRPr="00E73D3E">
        <w:rPr>
          <w:rFonts w:eastAsia="Times New Roman" w:cs="Times New Roman"/>
          <w:szCs w:val="20"/>
          <w:lang w:eastAsia="de-DE"/>
        </w:rPr>
        <w:t>“ zertifiziert und damit schadstoff</w:t>
      </w:r>
      <w:r w:rsidR="00256438">
        <w:rPr>
          <w:rFonts w:eastAsia="Times New Roman" w:cs="Times New Roman"/>
          <w:szCs w:val="20"/>
          <w:lang w:eastAsia="de-DE"/>
        </w:rPr>
        <w:t>arm</w:t>
      </w:r>
      <w:r w:rsidRPr="00E73D3E">
        <w:rPr>
          <w:rFonts w:eastAsia="Times New Roman" w:cs="Times New Roman"/>
          <w:szCs w:val="20"/>
          <w:lang w:eastAsia="de-DE"/>
        </w:rPr>
        <w:t xml:space="preserve"> nach </w:t>
      </w:r>
      <w:r w:rsidR="00256438">
        <w:rPr>
          <w:rFonts w:eastAsia="Times New Roman" w:cs="Times New Roman"/>
          <w:szCs w:val="20"/>
          <w:lang w:eastAsia="de-DE"/>
        </w:rPr>
        <w:t>den</w:t>
      </w:r>
      <w:r w:rsidR="00E73D3E">
        <w:rPr>
          <w:rFonts w:eastAsia="Times New Roman" w:cs="Times New Roman"/>
          <w:szCs w:val="20"/>
          <w:lang w:eastAsia="de-DE"/>
        </w:rPr>
        <w:t xml:space="preserve"> </w:t>
      </w:r>
      <w:r w:rsidRPr="00E73D3E">
        <w:rPr>
          <w:rFonts w:eastAsia="Times New Roman" w:cs="Times New Roman"/>
          <w:szCs w:val="20"/>
          <w:lang w:eastAsia="de-DE"/>
        </w:rPr>
        <w:t xml:space="preserve">Kriterien </w:t>
      </w:r>
      <w:r w:rsidR="00256438">
        <w:rPr>
          <w:rFonts w:eastAsia="Times New Roman" w:cs="Times New Roman"/>
          <w:szCs w:val="20"/>
          <w:lang w:eastAsia="de-DE"/>
        </w:rPr>
        <w:t>des QNG.</w:t>
      </w:r>
      <w:r w:rsidR="000130EC">
        <w:rPr>
          <w:rFonts w:eastAsia="Times New Roman" w:cs="Times New Roman"/>
          <w:szCs w:val="20"/>
          <w:lang w:eastAsia="de-DE"/>
        </w:rPr>
        <w:t xml:space="preserve"> </w:t>
      </w:r>
      <w:r w:rsidRPr="00E73D3E">
        <w:rPr>
          <w:rFonts w:eastAsia="Times New Roman" w:cs="Times New Roman"/>
          <w:szCs w:val="20"/>
          <w:lang w:eastAsia="de-DE"/>
        </w:rPr>
        <w:t xml:space="preserve">Dank der unabhängigen Zertifizierung sparen </w:t>
      </w:r>
      <w:r w:rsidR="00075E27">
        <w:rPr>
          <w:rFonts w:eastAsia="Times New Roman" w:cs="Times New Roman"/>
          <w:szCs w:val="20"/>
          <w:lang w:eastAsia="de-DE"/>
        </w:rPr>
        <w:t xml:space="preserve">Architekten </w:t>
      </w:r>
      <w:r w:rsidRPr="00E73D3E">
        <w:rPr>
          <w:rFonts w:eastAsia="Times New Roman" w:cs="Times New Roman"/>
          <w:szCs w:val="20"/>
          <w:lang w:eastAsia="de-DE"/>
        </w:rPr>
        <w:t xml:space="preserve">Zeit und Kosten </w:t>
      </w:r>
      <w:r w:rsidR="00075E27">
        <w:rPr>
          <w:rFonts w:eastAsia="Times New Roman" w:cs="Times New Roman"/>
          <w:szCs w:val="20"/>
          <w:lang w:eastAsia="de-DE"/>
        </w:rPr>
        <w:t xml:space="preserve">bei der </w:t>
      </w:r>
      <w:r w:rsidR="00256438">
        <w:rPr>
          <w:rFonts w:eastAsia="Times New Roman" w:cs="Times New Roman"/>
          <w:szCs w:val="20"/>
          <w:lang w:eastAsia="de-DE"/>
        </w:rPr>
        <w:t>Nachweisführung im</w:t>
      </w:r>
      <w:r w:rsidR="00E73D3E">
        <w:rPr>
          <w:rFonts w:eastAsia="Times New Roman" w:cs="Times New Roman"/>
          <w:szCs w:val="20"/>
          <w:lang w:eastAsia="de-DE"/>
        </w:rPr>
        <w:t xml:space="preserve"> Rahmen</w:t>
      </w:r>
      <w:r w:rsidR="00075E27">
        <w:rPr>
          <w:rFonts w:eastAsia="Times New Roman" w:cs="Times New Roman"/>
          <w:szCs w:val="20"/>
          <w:lang w:eastAsia="de-DE"/>
        </w:rPr>
        <w:t xml:space="preserve"> des </w:t>
      </w:r>
      <w:r w:rsidR="00256438">
        <w:rPr>
          <w:rFonts w:eastAsia="Times New Roman" w:cs="Times New Roman"/>
          <w:szCs w:val="20"/>
          <w:lang w:eastAsia="de-DE"/>
        </w:rPr>
        <w:t>Q</w:t>
      </w:r>
      <w:r w:rsidR="00075E27">
        <w:rPr>
          <w:rFonts w:eastAsia="Times New Roman" w:cs="Times New Roman"/>
          <w:szCs w:val="20"/>
          <w:lang w:eastAsia="de-DE"/>
        </w:rPr>
        <w:t>NG</w:t>
      </w:r>
      <w:r w:rsidR="00920637">
        <w:rPr>
          <w:rFonts w:eastAsia="Times New Roman" w:cs="Times New Roman"/>
          <w:szCs w:val="20"/>
          <w:lang w:eastAsia="de-DE"/>
        </w:rPr>
        <w:t>-</w:t>
      </w:r>
      <w:r w:rsidR="00075E27">
        <w:rPr>
          <w:rFonts w:eastAsia="Times New Roman" w:cs="Times New Roman"/>
          <w:szCs w:val="20"/>
          <w:lang w:eastAsia="de-DE"/>
        </w:rPr>
        <w:t xml:space="preserve">Gebäudesiegels </w:t>
      </w:r>
      <w:r w:rsidRPr="00E73D3E">
        <w:rPr>
          <w:rFonts w:eastAsia="Times New Roman" w:cs="Times New Roman"/>
          <w:szCs w:val="20"/>
          <w:lang w:eastAsia="de-DE"/>
        </w:rPr>
        <w:t xml:space="preserve">und </w:t>
      </w:r>
      <w:r w:rsidR="00075E27">
        <w:rPr>
          <w:rFonts w:eastAsia="Times New Roman" w:cs="Times New Roman"/>
          <w:szCs w:val="20"/>
          <w:lang w:eastAsia="de-DE"/>
        </w:rPr>
        <w:t xml:space="preserve">Bauherren </w:t>
      </w:r>
      <w:r w:rsidRPr="00E73D3E">
        <w:rPr>
          <w:rFonts w:eastAsia="Times New Roman" w:cs="Times New Roman"/>
          <w:szCs w:val="20"/>
          <w:lang w:eastAsia="de-DE"/>
        </w:rPr>
        <w:t>profitieren von attraktiven Fördermöglichkeiten</w:t>
      </w:r>
      <w:r w:rsidR="00075E27">
        <w:rPr>
          <w:rFonts w:eastAsia="Times New Roman" w:cs="Times New Roman"/>
          <w:szCs w:val="20"/>
          <w:lang w:eastAsia="de-DE"/>
        </w:rPr>
        <w:t>.</w:t>
      </w:r>
      <w:r w:rsidR="009F2139">
        <w:rPr>
          <w:rFonts w:eastAsia="Times New Roman" w:cs="Times New Roman"/>
          <w:szCs w:val="20"/>
          <w:lang w:eastAsia="de-DE"/>
        </w:rPr>
        <w:t xml:space="preserve"> ©GUTEX</w:t>
      </w:r>
    </w:p>
    <w:p w14:paraId="1194987F" w14:textId="01A0DC60" w:rsidR="00F27A57" w:rsidRPr="00E73D3E" w:rsidRDefault="00F27A57" w:rsidP="00E73D3E">
      <w:pPr>
        <w:rPr>
          <w:rFonts w:eastAsia="Times New Roman" w:cs="Times New Roman"/>
          <w:szCs w:val="20"/>
          <w:lang w:eastAsia="de-DE"/>
        </w:rPr>
      </w:pPr>
    </w:p>
    <w:p w14:paraId="10E86E2B" w14:textId="2DE87A23" w:rsidR="00E043B1" w:rsidRPr="00E73D3E" w:rsidRDefault="00E043B1" w:rsidP="00E73D3E">
      <w:pPr>
        <w:rPr>
          <w:rFonts w:eastAsia="Times New Roman" w:cs="Times New Roman"/>
          <w:szCs w:val="20"/>
          <w:lang w:eastAsia="de-DE"/>
        </w:rPr>
      </w:pPr>
    </w:p>
    <w:p w14:paraId="44C4AF01" w14:textId="648CB83D" w:rsidR="00F27A57" w:rsidRDefault="00F27A57" w:rsidP="00AC5AC4">
      <w:pPr>
        <w:spacing w:after="0"/>
      </w:pPr>
    </w:p>
    <w:p w14:paraId="799314BA" w14:textId="6241ACD7" w:rsidR="009F2139" w:rsidRDefault="009F2139" w:rsidP="009F2139">
      <w:pPr>
        <w:spacing w:after="0"/>
      </w:pPr>
      <w:r>
        <w:rPr>
          <w:noProof/>
        </w:rPr>
        <w:drawing>
          <wp:anchor distT="0" distB="0" distL="114300" distR="114300" simplePos="0" relativeHeight="251670528" behindDoc="1" locked="0" layoutInCell="1" allowOverlap="1" wp14:anchorId="00F48DC0" wp14:editId="265D250B">
            <wp:simplePos x="0" y="0"/>
            <wp:positionH relativeFrom="column">
              <wp:posOffset>-5080</wp:posOffset>
            </wp:positionH>
            <wp:positionV relativeFrom="paragraph">
              <wp:posOffset>31706</wp:posOffset>
            </wp:positionV>
            <wp:extent cx="2884805" cy="1924050"/>
            <wp:effectExtent l="0" t="0" r="0" b="6350"/>
            <wp:wrapTight wrapText="bothSides">
              <wp:wrapPolygon edited="0">
                <wp:start x="0" y="0"/>
                <wp:lineTo x="0" y="21529"/>
                <wp:lineTo x="21491" y="21529"/>
                <wp:lineTo x="21491" y="0"/>
                <wp:lineTo x="0" y="0"/>
              </wp:wrapPolygon>
            </wp:wrapTight>
            <wp:docPr id="796168574" name="Grafik 796168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099171" name="Grafik 459099171"/>
                    <pic:cNvPicPr/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4805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Neben Produkten für das Dach bietet GUTEX Dämmstoffe auch für die Fassade und den Innenausbau. Gemeinsam ist allen Holzfaserdämmstoffen, dass sie sich </w:t>
      </w:r>
      <w:r w:rsidRPr="005F2738">
        <w:rPr>
          <w:rFonts w:eastAsia="Times New Roman" w:cs="Times New Roman"/>
          <w:szCs w:val="20"/>
          <w:lang w:eastAsia="de-DE"/>
        </w:rPr>
        <w:t xml:space="preserve">für Projekte auf </w:t>
      </w:r>
      <w:r>
        <w:rPr>
          <w:rFonts w:eastAsia="Times New Roman" w:cs="Times New Roman"/>
          <w:szCs w:val="20"/>
          <w:lang w:eastAsia="de-DE"/>
        </w:rPr>
        <w:t>dem</w:t>
      </w:r>
      <w:r w:rsidRPr="005F2738">
        <w:rPr>
          <w:rFonts w:eastAsia="Times New Roman" w:cs="Times New Roman"/>
          <w:szCs w:val="20"/>
          <w:lang w:eastAsia="de-DE"/>
        </w:rPr>
        <w:t xml:space="preserve"> anspruchsvollen </w:t>
      </w:r>
      <w:r>
        <w:rPr>
          <w:rFonts w:eastAsia="Times New Roman" w:cs="Times New Roman"/>
          <w:szCs w:val="20"/>
          <w:lang w:eastAsia="de-DE"/>
        </w:rPr>
        <w:t>QNG-</w:t>
      </w:r>
      <w:r w:rsidRPr="005F2738">
        <w:rPr>
          <w:rFonts w:eastAsia="Times New Roman" w:cs="Times New Roman"/>
          <w:szCs w:val="20"/>
          <w:lang w:eastAsia="de-DE"/>
        </w:rPr>
        <w:t>Förderniveau</w:t>
      </w:r>
      <w:r>
        <w:rPr>
          <w:rFonts w:eastAsia="Times New Roman" w:cs="Times New Roman"/>
          <w:szCs w:val="20"/>
          <w:lang w:eastAsia="de-DE"/>
        </w:rPr>
        <w:t xml:space="preserve"> eignen. ©GUTEX</w:t>
      </w:r>
    </w:p>
    <w:p w14:paraId="50FDA750" w14:textId="5A4DB475" w:rsidR="008565DF" w:rsidRDefault="008565DF" w:rsidP="00AC5AC4">
      <w:pPr>
        <w:spacing w:after="0"/>
      </w:pPr>
    </w:p>
    <w:p w14:paraId="16D9B330" w14:textId="47594AC0" w:rsidR="008565DF" w:rsidRDefault="008565DF" w:rsidP="00AC5AC4">
      <w:pPr>
        <w:spacing w:after="0"/>
      </w:pPr>
    </w:p>
    <w:p w14:paraId="1F0542C6" w14:textId="09978745" w:rsidR="008565DF" w:rsidRDefault="008565DF" w:rsidP="00AC5AC4">
      <w:pPr>
        <w:spacing w:after="0"/>
      </w:pPr>
    </w:p>
    <w:p w14:paraId="210FEBAF" w14:textId="587922D0" w:rsidR="008565DF" w:rsidRDefault="008565DF" w:rsidP="00AC5AC4">
      <w:pPr>
        <w:spacing w:after="0"/>
      </w:pPr>
    </w:p>
    <w:p w14:paraId="4A036488" w14:textId="7F6D2E11" w:rsidR="008565DF" w:rsidRDefault="008565DF" w:rsidP="00AC5AC4">
      <w:pPr>
        <w:spacing w:after="0"/>
      </w:pPr>
    </w:p>
    <w:p w14:paraId="18F482B2" w14:textId="77777777" w:rsidR="005D6DB7" w:rsidRDefault="005D6DB7" w:rsidP="00AC5AC4">
      <w:pPr>
        <w:spacing w:after="0"/>
      </w:pPr>
    </w:p>
    <w:p w14:paraId="6B5A7FD3" w14:textId="77777777" w:rsidR="005D6DB7" w:rsidRDefault="005D6DB7" w:rsidP="00AC5AC4">
      <w:pPr>
        <w:spacing w:after="0"/>
      </w:pPr>
    </w:p>
    <w:p w14:paraId="723ADC3D" w14:textId="77777777" w:rsidR="005D6DB7" w:rsidRDefault="005D6DB7" w:rsidP="00AC5AC4">
      <w:pPr>
        <w:spacing w:after="0"/>
      </w:pPr>
    </w:p>
    <w:p w14:paraId="4356FAD8" w14:textId="31597AE8" w:rsidR="00F27A57" w:rsidRPr="0009440A" w:rsidRDefault="009F2139" w:rsidP="009F2139">
      <w:pPr>
        <w:spacing w:after="0"/>
        <w:ind w:left="4678"/>
      </w:pPr>
      <w:r>
        <w:rPr>
          <w:noProof/>
        </w:rPr>
        <w:lastRenderedPageBreak/>
        <w:drawing>
          <wp:anchor distT="0" distB="0" distL="114300" distR="114300" simplePos="0" relativeHeight="251666432" behindDoc="1" locked="0" layoutInCell="1" allowOverlap="1" wp14:anchorId="4CEC2CB8" wp14:editId="483629EC">
            <wp:simplePos x="0" y="0"/>
            <wp:positionH relativeFrom="column">
              <wp:posOffset>-1270</wp:posOffset>
            </wp:positionH>
            <wp:positionV relativeFrom="paragraph">
              <wp:posOffset>162</wp:posOffset>
            </wp:positionV>
            <wp:extent cx="2882900" cy="1989455"/>
            <wp:effectExtent l="0" t="0" r="0" b="4445"/>
            <wp:wrapTight wrapText="bothSides">
              <wp:wrapPolygon edited="0">
                <wp:start x="7041" y="0"/>
                <wp:lineTo x="6280" y="414"/>
                <wp:lineTo x="4567" y="1930"/>
                <wp:lineTo x="3901" y="3309"/>
                <wp:lineTo x="3330" y="4274"/>
                <wp:lineTo x="2569" y="6619"/>
                <wp:lineTo x="2189" y="8825"/>
                <wp:lineTo x="2189" y="11031"/>
                <wp:lineTo x="2379" y="13237"/>
                <wp:lineTo x="2759" y="15443"/>
                <wp:lineTo x="3616" y="17650"/>
                <wp:lineTo x="5233" y="19856"/>
                <wp:lineTo x="7327" y="21510"/>
                <wp:lineTo x="7612" y="21510"/>
                <wp:lineTo x="12560" y="21510"/>
                <wp:lineTo x="12846" y="21510"/>
                <wp:lineTo x="14844" y="19994"/>
                <wp:lineTo x="16557" y="17650"/>
                <wp:lineTo x="17413" y="15443"/>
                <wp:lineTo x="17889" y="13237"/>
                <wp:lineTo x="18079" y="11031"/>
                <wp:lineTo x="17984" y="8825"/>
                <wp:lineTo x="17699" y="6619"/>
                <wp:lineTo x="16937" y="4412"/>
                <wp:lineTo x="15700" y="2068"/>
                <wp:lineTo x="13893" y="414"/>
                <wp:lineTo x="13226" y="0"/>
                <wp:lineTo x="7041" y="0"/>
              </wp:wrapPolygon>
            </wp:wrapTight>
            <wp:docPr id="138974944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9749445" name="Grafik 1389749445"/>
                    <pic:cNvPicPr/>
                  </pic:nvPicPr>
                  <pic:blipFill rotWithShape="1"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-9249" r="-17679"/>
                    <a:stretch/>
                  </pic:blipFill>
                  <pic:spPr bwMode="auto">
                    <a:xfrm>
                      <a:off x="0" y="0"/>
                      <a:ext cx="2882900" cy="19894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65DF">
        <w:t xml:space="preserve">Das „QNG </w:t>
      </w:r>
      <w:proofErr w:type="spellStart"/>
      <w:r w:rsidR="000130EC">
        <w:t>r</w:t>
      </w:r>
      <w:r w:rsidR="008565DF">
        <w:t>eady</w:t>
      </w:r>
      <w:proofErr w:type="spellEnd"/>
      <w:r w:rsidR="008565DF">
        <w:t>“</w:t>
      </w:r>
      <w:r w:rsidR="00920637">
        <w:t>-</w:t>
      </w:r>
      <w:r w:rsidR="008565DF">
        <w:t xml:space="preserve">Prüfsiegel </w:t>
      </w:r>
      <w:r w:rsidR="00DB3B50">
        <w:t xml:space="preserve">erleichtert die </w:t>
      </w:r>
      <w:r w:rsidR="00920637">
        <w:t>Nachweisführung für das</w:t>
      </w:r>
      <w:r w:rsidR="00DB3B50">
        <w:t xml:space="preserve"> „Qualitätssiegel Nachhaltiges Gebäude“</w:t>
      </w:r>
      <w:r w:rsidR="008565DF">
        <w:t xml:space="preserve"> </w:t>
      </w:r>
      <w:r w:rsidR="00920637">
        <w:t>und die damit verbundenen</w:t>
      </w:r>
      <w:r w:rsidR="008565DF">
        <w:t xml:space="preserve"> </w:t>
      </w:r>
      <w:r w:rsidR="00E73D3E">
        <w:t>KfW</w:t>
      </w:r>
      <w:r w:rsidR="008565DF">
        <w:t xml:space="preserve">-Förderungen </w:t>
      </w:r>
      <w:r w:rsidR="008565DF" w:rsidRPr="00EA1A55">
        <w:rPr>
          <w:rFonts w:eastAsia="Times New Roman" w:cs="Times New Roman"/>
          <w:szCs w:val="20"/>
          <w:lang w:eastAsia="de-DE"/>
        </w:rPr>
        <w:t>Klimafreundlicher Neubau (KFN) und Bundesförderung für effiziente Gebäude (BEG)</w:t>
      </w:r>
      <w:r w:rsidR="008565DF">
        <w:rPr>
          <w:rFonts w:eastAsia="Times New Roman" w:cs="Times New Roman"/>
          <w:szCs w:val="20"/>
          <w:lang w:eastAsia="de-DE"/>
        </w:rPr>
        <w:t xml:space="preserve">. </w:t>
      </w:r>
      <w:r w:rsidR="00920637">
        <w:rPr>
          <w:rFonts w:eastAsia="Times New Roman" w:cs="Times New Roman"/>
          <w:szCs w:val="20"/>
          <w:lang w:eastAsia="de-DE"/>
        </w:rPr>
        <w:t xml:space="preserve">„QNG </w:t>
      </w:r>
      <w:proofErr w:type="spellStart"/>
      <w:r w:rsidR="00920637">
        <w:rPr>
          <w:rFonts w:eastAsia="Times New Roman" w:cs="Times New Roman"/>
          <w:szCs w:val="20"/>
          <w:lang w:eastAsia="de-DE"/>
        </w:rPr>
        <w:t>ready</w:t>
      </w:r>
      <w:proofErr w:type="spellEnd"/>
      <w:r w:rsidR="00920637">
        <w:rPr>
          <w:rFonts w:eastAsia="Times New Roman" w:cs="Times New Roman"/>
          <w:szCs w:val="20"/>
          <w:lang w:eastAsia="de-DE"/>
        </w:rPr>
        <w:t xml:space="preserve">“ </w:t>
      </w:r>
      <w:r w:rsidR="008565DF">
        <w:rPr>
          <w:rFonts w:eastAsia="Times New Roman" w:cs="Times New Roman"/>
          <w:szCs w:val="20"/>
          <w:lang w:eastAsia="de-DE"/>
        </w:rPr>
        <w:t xml:space="preserve">wird vom unabhängigen </w:t>
      </w:r>
      <w:r w:rsidR="008565DF" w:rsidRPr="007410C1">
        <w:rPr>
          <w:rFonts w:eastAsiaTheme="majorEastAsia" w:cstheme="majorBidi"/>
        </w:rPr>
        <w:t>Sentinel Haus Institut</w:t>
      </w:r>
      <w:r w:rsidR="008565DF">
        <w:rPr>
          <w:rFonts w:eastAsiaTheme="majorEastAsia" w:cstheme="majorBidi"/>
        </w:rPr>
        <w:t xml:space="preserve"> vergeben.</w:t>
      </w:r>
    </w:p>
    <w:p w14:paraId="76B16E69" w14:textId="6C6DA012" w:rsidR="00A87855" w:rsidRPr="0009440A" w:rsidRDefault="00A87855" w:rsidP="00AC5AC4">
      <w:pPr>
        <w:spacing w:after="0"/>
      </w:pPr>
    </w:p>
    <w:p w14:paraId="0333D6BA" w14:textId="553D62FC" w:rsidR="00A87855" w:rsidRPr="0009440A" w:rsidRDefault="00A87855" w:rsidP="00AC5AC4">
      <w:pPr>
        <w:spacing w:after="0"/>
      </w:pPr>
    </w:p>
    <w:p w14:paraId="73E70D28" w14:textId="07C5747C" w:rsidR="00A87855" w:rsidRDefault="00A87855" w:rsidP="00AC5AC4">
      <w:pPr>
        <w:spacing w:after="0"/>
      </w:pPr>
    </w:p>
    <w:p w14:paraId="43717B1F" w14:textId="459234A6" w:rsidR="005D6DB7" w:rsidRPr="0009440A" w:rsidRDefault="005D6DB7" w:rsidP="00AC5AC4">
      <w:pPr>
        <w:spacing w:after="0"/>
      </w:pPr>
    </w:p>
    <w:p w14:paraId="6690BF02" w14:textId="28719990" w:rsidR="00F27A57" w:rsidRPr="0009440A" w:rsidRDefault="00F27A57" w:rsidP="007961BE">
      <w:pPr>
        <w:spacing w:after="0"/>
        <w:rPr>
          <w:b/>
          <w:bCs/>
        </w:rPr>
      </w:pPr>
      <w:r w:rsidRPr="0009440A">
        <w:rPr>
          <w:b/>
          <w:bCs/>
        </w:rPr>
        <w:t>Unternehmensprofil</w:t>
      </w:r>
    </w:p>
    <w:p w14:paraId="66233C1B" w14:textId="71D94868" w:rsidR="004603B0" w:rsidRPr="0009440A" w:rsidRDefault="004603B0" w:rsidP="004603B0">
      <w:pPr>
        <w:spacing w:after="0"/>
      </w:pPr>
      <w:r w:rsidRPr="0009440A">
        <w:t xml:space="preserve">GUTEX macht seit 1932 das Beste aus Holz und ist Experte </w:t>
      </w:r>
      <w:r w:rsidR="004576B1" w:rsidRPr="0009440A">
        <w:t>für</w:t>
      </w:r>
      <w:r w:rsidRPr="0009440A">
        <w:t xml:space="preserve"> klimapositive Holzfaserdämm</w:t>
      </w:r>
      <w:r w:rsidR="00F6709C">
        <w:t>ung</w:t>
      </w:r>
      <w:r w:rsidR="004576B1" w:rsidRPr="0009440A">
        <w:t xml:space="preserve"> </w:t>
      </w:r>
      <w:r w:rsidRPr="0009440A">
        <w:t>in den Bereichen Fassade, Dach und Ausbau. Die innovativen Produkte und Systeme bestehen aus</w:t>
      </w:r>
      <w:r w:rsidR="004576B1" w:rsidRPr="0009440A">
        <w:t xml:space="preserve"> </w:t>
      </w:r>
      <w:r w:rsidR="0000602D">
        <w:t xml:space="preserve">zertifiziertem </w:t>
      </w:r>
      <w:r w:rsidRPr="0009440A">
        <w:t>Nadelholz</w:t>
      </w:r>
      <w:r w:rsidR="0000602D">
        <w:t xml:space="preserve">, das aus </w:t>
      </w:r>
      <w:r w:rsidRPr="0009440A">
        <w:t>regionaler Forstwirtschaft</w:t>
      </w:r>
      <w:r w:rsidR="0000602D">
        <w:t xml:space="preserve"> stammt und</w:t>
      </w:r>
      <w:r w:rsidRPr="0009440A">
        <w:t xml:space="preserve"> </w:t>
      </w:r>
      <w:r w:rsidR="00EF208B">
        <w:t>am Firmensitz</w:t>
      </w:r>
      <w:r w:rsidRPr="0009440A">
        <w:t xml:space="preserve"> in Waldshut-Tiengen </w:t>
      </w:r>
      <w:r w:rsidR="00EF208B">
        <w:t xml:space="preserve">sowie </w:t>
      </w:r>
      <w:r w:rsidR="0000602D">
        <w:t>in</w:t>
      </w:r>
      <w:r w:rsidR="00EF208B">
        <w:t xml:space="preserve"> Eschbach im Breisgau </w:t>
      </w:r>
      <w:r w:rsidRPr="0009440A">
        <w:t>nach</w:t>
      </w:r>
      <w:r w:rsidR="004576B1" w:rsidRPr="0009440A">
        <w:t xml:space="preserve"> </w:t>
      </w:r>
      <w:r w:rsidRPr="0009440A">
        <w:t xml:space="preserve">umweltschonenden Standards verarbeitet wird. </w:t>
      </w:r>
      <w:r w:rsidR="00AE323E">
        <w:t>Mit i</w:t>
      </w:r>
      <w:r w:rsidRPr="0009440A">
        <w:t>ndividuelle</w:t>
      </w:r>
      <w:r w:rsidR="00AE323E">
        <w:t>r</w:t>
      </w:r>
      <w:r w:rsidRPr="0009440A">
        <w:t xml:space="preserve"> Beratung und Services </w:t>
      </w:r>
      <w:r w:rsidR="00AE323E">
        <w:t>unterstützt GUTEX den</w:t>
      </w:r>
      <w:r w:rsidR="004576B1" w:rsidRPr="0009440A">
        <w:t xml:space="preserve"> </w:t>
      </w:r>
      <w:r w:rsidRPr="0009440A">
        <w:t>Großhandel, Architekten, Planer, Handwerker und Bauherren</w:t>
      </w:r>
      <w:r w:rsidR="00AE323E">
        <w:t xml:space="preserve"> dabei</w:t>
      </w:r>
      <w:r w:rsidRPr="0009440A">
        <w:t>, behagliche Lebensräume im Einklang mit der Natur</w:t>
      </w:r>
      <w:r w:rsidR="00AE323E">
        <w:t xml:space="preserve"> zu schaffen</w:t>
      </w:r>
      <w:r w:rsidRPr="0009440A">
        <w:t xml:space="preserve">. Das in 4. Generation </w:t>
      </w:r>
      <w:r w:rsidR="004576B1" w:rsidRPr="0009440A">
        <w:t>geführte</w:t>
      </w:r>
      <w:r w:rsidRPr="0009440A">
        <w:t xml:space="preserve"> Familienunternehmen beschäftigt 260</w:t>
      </w:r>
      <w:r w:rsidR="004576B1" w:rsidRPr="0009440A">
        <w:t xml:space="preserve"> </w:t>
      </w:r>
      <w:r w:rsidRPr="0009440A">
        <w:t>Mitarbeitende und generiert rund 135 Millionen Euro Umsatz im Jahr mit allen Arten der</w:t>
      </w:r>
      <w:r w:rsidR="004576B1" w:rsidRPr="0009440A">
        <w:t xml:space="preserve"> </w:t>
      </w:r>
      <w:r w:rsidRPr="0009440A">
        <w:t>Holzfaserdämmung: Platten, Matten und loser Einblasdämmung.</w:t>
      </w:r>
    </w:p>
    <w:p w14:paraId="614FF04B" w14:textId="77777777" w:rsidR="004603B0" w:rsidRPr="0009440A" w:rsidRDefault="004603B0" w:rsidP="004603B0">
      <w:pPr>
        <w:spacing w:after="0"/>
      </w:pPr>
    </w:p>
    <w:p w14:paraId="77C50980" w14:textId="1A922D65" w:rsidR="00150261" w:rsidRPr="0009440A" w:rsidRDefault="007961BE" w:rsidP="0000602D">
      <w:pPr>
        <w:spacing w:after="0"/>
      </w:pPr>
      <w:r w:rsidRPr="0009440A">
        <w:t xml:space="preserve">Weitere Informationen </w:t>
      </w:r>
      <w:r w:rsidR="0000602D">
        <w:t>über</w:t>
      </w:r>
      <w:r w:rsidR="0000602D" w:rsidRPr="0009440A">
        <w:t xml:space="preserve"> </w:t>
      </w:r>
      <w:r w:rsidRPr="0009440A">
        <w:t xml:space="preserve">Unternehmen und Produkte </w:t>
      </w:r>
      <w:r w:rsidR="0000602D">
        <w:t xml:space="preserve">finden Sie </w:t>
      </w:r>
      <w:r w:rsidR="00AE323E">
        <w:t>hier</w:t>
      </w:r>
      <w:r w:rsidR="0000602D">
        <w:t>:</w:t>
      </w:r>
      <w:r w:rsidRPr="0009440A">
        <w:t xml:space="preserve"> </w:t>
      </w:r>
      <w:hyperlink r:id="rId16" w:history="1">
        <w:r w:rsidRPr="0009440A">
          <w:rPr>
            <w:rStyle w:val="Hyperlink"/>
          </w:rPr>
          <w:t>www.gutex.de</w:t>
        </w:r>
      </w:hyperlink>
    </w:p>
    <w:p w14:paraId="4B9C6767" w14:textId="77777777" w:rsidR="00F222B8" w:rsidRPr="0009440A" w:rsidRDefault="00F222B8" w:rsidP="00302960">
      <w:pPr>
        <w:pStyle w:val="berschrift4"/>
        <w:spacing w:after="60" w:line="300" w:lineRule="exact"/>
      </w:pPr>
    </w:p>
    <w:p w14:paraId="4A37BB26" w14:textId="77777777" w:rsidR="00F222B8" w:rsidRPr="0009440A" w:rsidRDefault="00F222B8" w:rsidP="00302960">
      <w:pPr>
        <w:pStyle w:val="berschrift4"/>
        <w:spacing w:after="60" w:line="300" w:lineRule="exact"/>
      </w:pPr>
    </w:p>
    <w:p w14:paraId="749B36FF" w14:textId="45183F18" w:rsidR="00302960" w:rsidRPr="0009440A" w:rsidRDefault="00EF208B" w:rsidP="00302960">
      <w:pPr>
        <w:pStyle w:val="berschrift4"/>
        <w:spacing w:after="60" w:line="300" w:lineRule="exact"/>
      </w:pPr>
      <w:r>
        <w:t>Ansprechpartner</w:t>
      </w:r>
      <w:r w:rsidR="007507D2">
        <w:t xml:space="preserve"> für die Presse</w:t>
      </w:r>
    </w:p>
    <w:p w14:paraId="0199BAFE" w14:textId="2A01A347" w:rsidR="00302960" w:rsidRPr="007507D2" w:rsidRDefault="00302960" w:rsidP="00302960">
      <w:pPr>
        <w:pStyle w:val="Kontakt"/>
        <w:spacing w:after="60"/>
      </w:pPr>
      <w:r w:rsidRPr="007507D2">
        <w:rPr>
          <w:rFonts w:ascii="Lato Black" w:hAnsi="Lato Black"/>
          <w:b/>
        </w:rPr>
        <w:t>GUTEX</w:t>
      </w:r>
      <w:r w:rsidRPr="007507D2">
        <w:rPr>
          <w:rFonts w:ascii="Lato Black" w:hAnsi="Lato Black"/>
          <w:b/>
        </w:rPr>
        <w:tab/>
      </w:r>
      <w:r w:rsidRPr="007507D2">
        <w:rPr>
          <w:rFonts w:ascii="Lato Black" w:hAnsi="Lato Black"/>
          <w:b/>
        </w:rPr>
        <w:tab/>
      </w:r>
      <w:proofErr w:type="spellStart"/>
      <w:r w:rsidRPr="007507D2">
        <w:rPr>
          <w:rFonts w:ascii="Lato Black" w:hAnsi="Lato Black"/>
          <w:b/>
        </w:rPr>
        <w:t>mai</w:t>
      </w:r>
      <w:proofErr w:type="spellEnd"/>
      <w:r w:rsidRPr="007507D2">
        <w:rPr>
          <w:rFonts w:ascii="Lato Black" w:hAnsi="Lato Black"/>
          <w:b/>
        </w:rPr>
        <w:t xml:space="preserve"> </w:t>
      </w:r>
      <w:proofErr w:type="spellStart"/>
      <w:r w:rsidRPr="007507D2">
        <w:rPr>
          <w:rFonts w:ascii="Lato Black" w:hAnsi="Lato Black"/>
          <w:b/>
        </w:rPr>
        <w:t>public</w:t>
      </w:r>
      <w:proofErr w:type="spellEnd"/>
      <w:r w:rsidRPr="007507D2">
        <w:rPr>
          <w:rFonts w:ascii="Lato Black" w:hAnsi="Lato Black"/>
          <w:b/>
        </w:rPr>
        <w:t xml:space="preserve"> </w:t>
      </w:r>
      <w:proofErr w:type="spellStart"/>
      <w:r w:rsidRPr="007507D2">
        <w:rPr>
          <w:rFonts w:ascii="Lato Black" w:hAnsi="Lato Black"/>
          <w:b/>
        </w:rPr>
        <w:t>relations</w:t>
      </w:r>
      <w:proofErr w:type="spellEnd"/>
      <w:r w:rsidRPr="007507D2">
        <w:rPr>
          <w:rFonts w:ascii="Lato Black" w:hAnsi="Lato Black"/>
          <w:b/>
        </w:rPr>
        <w:br/>
      </w:r>
      <w:r w:rsidR="00C6409A" w:rsidRPr="007507D2">
        <w:t>Clemens Jesenitschnig</w:t>
      </w:r>
      <w:r w:rsidR="00C6409A" w:rsidRPr="007507D2">
        <w:tab/>
        <w:t>Julia Wolter</w:t>
      </w:r>
      <w:r w:rsidR="00C6409A" w:rsidRPr="007507D2">
        <w:br/>
        <w:t>Corporate Communication Manager</w:t>
      </w:r>
      <w:r w:rsidR="00C6409A" w:rsidRPr="007507D2">
        <w:tab/>
        <w:t xml:space="preserve">PR-Beratung </w:t>
      </w:r>
      <w:r w:rsidR="00C6409A" w:rsidRPr="007507D2">
        <w:br/>
      </w:r>
      <w:hyperlink r:id="rId17" w:history="1">
        <w:r w:rsidR="00C6409A" w:rsidRPr="007507D2">
          <w:rPr>
            <w:rStyle w:val="Hyperlink"/>
          </w:rPr>
          <w:t>clemens.jesenitschnig@gutex.de</w:t>
        </w:r>
      </w:hyperlink>
      <w:r w:rsidR="00C6409A" w:rsidRPr="007507D2">
        <w:t xml:space="preserve"> </w:t>
      </w:r>
      <w:r w:rsidR="00C6409A" w:rsidRPr="007507D2">
        <w:tab/>
      </w:r>
      <w:hyperlink r:id="rId18" w:history="1">
        <w:r w:rsidR="00C6409A" w:rsidRPr="007507D2">
          <w:rPr>
            <w:rStyle w:val="Hyperlink"/>
          </w:rPr>
          <w:t>gutex@maipr.com</w:t>
        </w:r>
      </w:hyperlink>
      <w:r w:rsidR="00C6409A" w:rsidRPr="007507D2">
        <w:br/>
        <w:t xml:space="preserve">+49 7741 6099-368    </w:t>
      </w:r>
      <w:r w:rsidR="00C6409A" w:rsidRPr="007507D2">
        <w:tab/>
        <w:t>+49 30 664040-551</w:t>
      </w:r>
    </w:p>
    <w:p w14:paraId="01A75A8C" w14:textId="77777777" w:rsidR="00302960" w:rsidRPr="007507D2" w:rsidRDefault="00302960" w:rsidP="00302960">
      <w:pPr>
        <w:spacing w:after="0"/>
        <w:rPr>
          <w:sz w:val="10"/>
          <w:szCs w:val="10"/>
        </w:rPr>
      </w:pPr>
    </w:p>
    <w:p w14:paraId="0C497026" w14:textId="77777777" w:rsidR="00302960" w:rsidRPr="0009440A" w:rsidRDefault="00302960" w:rsidP="00302960">
      <w:pPr>
        <w:spacing w:after="60"/>
      </w:pPr>
      <w:r w:rsidRPr="0009440A">
        <w:t>Herstelleradresse:</w:t>
      </w:r>
    </w:p>
    <w:p w14:paraId="7860251F" w14:textId="4C6A97AD" w:rsidR="00302960" w:rsidRPr="0009440A" w:rsidRDefault="00302960" w:rsidP="00302960">
      <w:pPr>
        <w:spacing w:after="60"/>
        <w:jc w:val="left"/>
      </w:pPr>
      <w:r w:rsidRPr="0009440A">
        <w:t>GUTEX | Gutenburg 5 | 79761 Waldshut-Tiengen</w:t>
      </w:r>
      <w:r w:rsidR="0000602D">
        <w:t>, Deutschland</w:t>
      </w:r>
      <w:r w:rsidRPr="0009440A">
        <w:br/>
        <w:t xml:space="preserve">Telefon: + 49 7741/6099-0 | </w:t>
      </w:r>
      <w:hyperlink r:id="rId19" w:history="1">
        <w:r w:rsidR="004576B1" w:rsidRPr="0009440A">
          <w:t>www.gutex.de</w:t>
        </w:r>
      </w:hyperlink>
      <w:r w:rsidRPr="0009440A">
        <w:t xml:space="preserve"> | </w:t>
      </w:r>
      <w:hyperlink r:id="rId20" w:history="1">
        <w:r w:rsidR="004576B1" w:rsidRPr="0009440A">
          <w:t>info@gutex.de</w:t>
        </w:r>
      </w:hyperlink>
    </w:p>
    <w:p w14:paraId="1B7D1A7C" w14:textId="77777777" w:rsidR="00302960" w:rsidRPr="0009440A" w:rsidRDefault="00302960" w:rsidP="00302960">
      <w:pPr>
        <w:spacing w:after="0"/>
        <w:rPr>
          <w:rStyle w:val="Hyperlink"/>
        </w:rPr>
      </w:pPr>
    </w:p>
    <w:p w14:paraId="296DCA1C" w14:textId="77777777" w:rsidR="00302960" w:rsidRPr="0009440A" w:rsidRDefault="00302960" w:rsidP="00302960">
      <w:pPr>
        <w:spacing w:after="60"/>
      </w:pPr>
      <w:r w:rsidRPr="0009440A">
        <w:t>Abdruck kostenlos.</w:t>
      </w:r>
    </w:p>
    <w:p w14:paraId="73EF5D73" w14:textId="77777777" w:rsidR="00302960" w:rsidRPr="0009440A" w:rsidRDefault="00302960" w:rsidP="00302960">
      <w:pPr>
        <w:spacing w:after="60"/>
      </w:pPr>
      <w:r w:rsidRPr="0009440A">
        <w:t>Über die Zusendung von Belegexemplaren (gerne als Daten) freuen wir uns.</w:t>
      </w:r>
    </w:p>
    <w:p w14:paraId="40E0F758" w14:textId="77777777" w:rsidR="00302960" w:rsidRPr="0009440A" w:rsidRDefault="00302960" w:rsidP="00302960">
      <w:pPr>
        <w:spacing w:after="60"/>
      </w:pPr>
      <w:r w:rsidRPr="0009440A">
        <w:t>Anregungen und Anfragen sind jederzeit willkommen.</w:t>
      </w:r>
    </w:p>
    <w:p w14:paraId="1F675CB8" w14:textId="77777777" w:rsidR="00302960" w:rsidRPr="0009440A" w:rsidRDefault="00302960" w:rsidP="00302960">
      <w:pPr>
        <w:spacing w:after="60"/>
      </w:pPr>
      <w:r w:rsidRPr="0009440A">
        <w:lastRenderedPageBreak/>
        <w:t>Rechtliches:</w:t>
      </w:r>
    </w:p>
    <w:p w14:paraId="5B5CD17D" w14:textId="77777777" w:rsidR="00302960" w:rsidRPr="0009440A" w:rsidRDefault="00302960" w:rsidP="00302960">
      <w:pPr>
        <w:spacing w:after="60"/>
      </w:pPr>
      <w:r w:rsidRPr="0009440A">
        <w:t>Die Verwendung der Bilder ist ausschließlich im Rahmen redaktioneller Berichterstattung mit inhaltlichen Bezügen zu GUTEX erlaubt.</w:t>
      </w:r>
    </w:p>
    <w:p w14:paraId="12DD8FAA" w14:textId="77777777" w:rsidR="00302960" w:rsidRPr="0009440A" w:rsidRDefault="00302960" w:rsidP="00302960">
      <w:pPr>
        <w:spacing w:after="60"/>
      </w:pPr>
      <w:r w:rsidRPr="0009440A">
        <w:t>Die Bilder können zu diesem Zweck vervielfältigt und kostenlos veröffentlicht werden.</w:t>
      </w:r>
    </w:p>
    <w:p w14:paraId="58DD2BC5" w14:textId="77777777" w:rsidR="00302960" w:rsidRPr="0009440A" w:rsidRDefault="00302960" w:rsidP="00302960">
      <w:pPr>
        <w:spacing w:after="60"/>
      </w:pPr>
      <w:r w:rsidRPr="0009440A">
        <w:t>Die Bearbeitung der Bilder ist nicht erlaubt. Verkleinerungen oder Vergrößerungen, sowie eine den zentralen Sinn des Bildes nicht entstellende Ausschnittwahl sind zulässig.</w:t>
      </w:r>
    </w:p>
    <w:p w14:paraId="37E51B8E" w14:textId="77777777" w:rsidR="00302960" w:rsidRPr="0009440A" w:rsidRDefault="00302960" w:rsidP="00302960">
      <w:pPr>
        <w:spacing w:after="60"/>
      </w:pPr>
      <w:r w:rsidRPr="0009440A">
        <w:t>Zur Sicherung der uns seitens der Fotografen ü</w:t>
      </w:r>
      <w:r w:rsidRPr="0009440A">
        <w:rPr>
          <w:rFonts w:ascii="Lato Medium" w:hAnsi="Lato Medium" w:cs="Lato Medium"/>
        </w:rPr>
        <w:t>b</w:t>
      </w:r>
      <w:r w:rsidRPr="0009440A">
        <w:t>erlassenen Urheberrechte ist die Bildnutzung nur unter Angabe der Fotoquelle „GUTEX“ bzw. des Fotografen zulässig.</w:t>
      </w:r>
    </w:p>
    <w:p w14:paraId="6B5EDB25" w14:textId="77777777" w:rsidR="00AC5AC4" w:rsidRPr="0009440A" w:rsidRDefault="00AC5AC4" w:rsidP="00AC5AC4">
      <w:pPr>
        <w:spacing w:after="0" w:line="240" w:lineRule="auto"/>
        <w:rPr>
          <w:i/>
        </w:rPr>
      </w:pPr>
    </w:p>
    <w:p w14:paraId="3109FC00" w14:textId="77777777" w:rsidR="004C53F2" w:rsidRPr="0009440A" w:rsidRDefault="00302960" w:rsidP="00AC5AC4">
      <w:pPr>
        <w:spacing w:after="0" w:line="240" w:lineRule="auto"/>
        <w:rPr>
          <w:i/>
        </w:rPr>
      </w:pPr>
      <w:r w:rsidRPr="0009440A">
        <w:rPr>
          <w:i/>
        </w:rPr>
        <w:t>Bild: © GUTEX</w:t>
      </w:r>
    </w:p>
    <w:sectPr w:rsidR="004C53F2" w:rsidRPr="0009440A" w:rsidSect="00673CFA">
      <w:footerReference w:type="default" r:id="rId21"/>
      <w:footerReference w:type="first" r:id="rId22"/>
      <w:pgSz w:w="11900" w:h="16840"/>
      <w:pgMar w:top="1134" w:right="1531" w:bottom="1134" w:left="1531" w:header="0" w:footer="226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A3AAB" w14:textId="77777777" w:rsidR="00537EDD" w:rsidRDefault="00537EDD" w:rsidP="009F0939">
      <w:r>
        <w:separator/>
      </w:r>
    </w:p>
  </w:endnote>
  <w:endnote w:type="continuationSeparator" w:id="0">
    <w:p w14:paraId="46321833" w14:textId="77777777" w:rsidR="00537EDD" w:rsidRDefault="00537EDD" w:rsidP="009F0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o">
    <w:panose1 w:val="020B0604020202020204"/>
    <w:charset w:val="00"/>
    <w:family w:val="swiss"/>
    <w:pitch w:val="variable"/>
    <w:sig w:usb0="E10002FF" w:usb1="5000ECFF" w:usb2="00000021" w:usb3="00000000" w:csb0="0000019F" w:csb1="00000000"/>
  </w:font>
  <w:font w:name="Times New Roman (Textkörper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 (Überschriften">
    <w:altName w:val="Times New Roman"/>
    <w:panose1 w:val="020B0604020202020204"/>
    <w:charset w:val="00"/>
    <w:family w:val="roman"/>
    <w:pitch w:val="variable"/>
    <w:sig w:usb0="00000000" w:usb1="C0007841" w:usb2="00000009" w:usb3="00000000" w:csb0="000001FF" w:csb1="00000000"/>
  </w:font>
  <w:font w:name="Lato Black">
    <w:panose1 w:val="020B0604020202020204"/>
    <w:charset w:val="00"/>
    <w:family w:val="swiss"/>
    <w:pitch w:val="variable"/>
    <w:sig w:usb0="E10002FF" w:usb1="5000ECFF" w:usb2="00000021" w:usb3="00000000" w:csb0="0000019F" w:csb1="00000000"/>
  </w:font>
  <w:font w:name="MinionPro-Regular">
    <w:altName w:val="Minion Pro"/>
    <w:panose1 w:val="02040503050306020203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ato Medium">
    <w:panose1 w:val="020B0604020202020204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014F0" w14:textId="292BB8B9" w:rsidR="00797FCC" w:rsidRDefault="00C27193" w:rsidP="0000602D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D5A509A" wp14:editId="39362805">
              <wp:simplePos x="0" y="0"/>
              <wp:positionH relativeFrom="column">
                <wp:posOffset>0</wp:posOffset>
              </wp:positionH>
              <wp:positionV relativeFrom="paragraph">
                <wp:posOffset>677891</wp:posOffset>
              </wp:positionV>
              <wp:extent cx="1403498" cy="127590"/>
              <wp:effectExtent l="0" t="0" r="6350" b="0"/>
              <wp:wrapNone/>
              <wp:docPr id="1280551188" name="Rechteck 128055118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03498" cy="1275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2E2A27B" id="Rechteck 1280551188" o:spid="_x0000_s1026" style="position:absolute;margin-left:0;margin-top:53.4pt;width:110.5pt;height:10.0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" fillcolor="white [3212]" stroked="f" strokeweight="1pt"/>
          </w:pict>
        </mc:Fallback>
      </mc:AlternateContent>
    </w:r>
    <w:r w:rsidR="00797FCC"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anchorId="5A20C492" wp14:editId="36220DC0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612400" cy="1756800"/>
          <wp:effectExtent l="0" t="0" r="127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GUTEX Footer F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4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98056" w14:textId="4F2DA9F3" w:rsidR="00797FCC" w:rsidRDefault="00C27193" w:rsidP="0000602D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5DDA3E0" wp14:editId="509CC483">
              <wp:simplePos x="0" y="0"/>
              <wp:positionH relativeFrom="column">
                <wp:posOffset>0</wp:posOffset>
              </wp:positionH>
              <wp:positionV relativeFrom="paragraph">
                <wp:posOffset>705340</wp:posOffset>
              </wp:positionV>
              <wp:extent cx="1403498" cy="127590"/>
              <wp:effectExtent l="0" t="0" r="6350" b="0"/>
              <wp:wrapNone/>
              <wp:docPr id="1296278149" name="Rechteck 12962781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03498" cy="12759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BE99E2C" id="Rechteck 1296278149" o:spid="_x0000_s1026" style="position:absolute;margin-left:0;margin-top:55.55pt;width:110.5pt;height:10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" fillcolor="white [3212]" stroked="f" strokeweight="1pt"/>
          </w:pict>
        </mc:Fallback>
      </mc:AlternateContent>
    </w:r>
    <w:r w:rsidR="00797FCC">
      <w:rPr>
        <w:noProof/>
        <w:lang w:eastAsia="de-DE"/>
      </w:rPr>
      <w:drawing>
        <wp:anchor distT="0" distB="0" distL="114300" distR="114300" simplePos="0" relativeHeight="251659264" behindDoc="0" locked="0" layoutInCell="1" allowOverlap="1" wp14:anchorId="25BAC189" wp14:editId="089F776B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612400" cy="1756800"/>
          <wp:effectExtent l="0" t="0" r="1270" b="0"/>
          <wp:wrapNone/>
          <wp:docPr id="22" name="Grafik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GUTEX Footer F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4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C389C" w14:textId="77777777" w:rsidR="00537EDD" w:rsidRDefault="00537EDD" w:rsidP="009F0939">
      <w:r>
        <w:separator/>
      </w:r>
    </w:p>
  </w:footnote>
  <w:footnote w:type="continuationSeparator" w:id="0">
    <w:p w14:paraId="6394CAF8" w14:textId="77777777" w:rsidR="00537EDD" w:rsidRDefault="00537EDD" w:rsidP="009F09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96495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6704C1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30A20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85029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A071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DE21C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74EDA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DCAFD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8844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1FA56BE"/>
    <w:lvl w:ilvl="0">
      <w:start w:val="1"/>
      <w:numFmt w:val="bullet"/>
      <w:pStyle w:val="Aufzhlungszeichen"/>
      <w:lvlText w:val="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E64637"/>
      </w:rPr>
    </w:lvl>
  </w:abstractNum>
  <w:num w:numId="1" w16cid:durableId="1000697243">
    <w:abstractNumId w:val="0"/>
  </w:num>
  <w:num w:numId="2" w16cid:durableId="1552305928">
    <w:abstractNumId w:val="1"/>
  </w:num>
  <w:num w:numId="3" w16cid:durableId="529419029">
    <w:abstractNumId w:val="2"/>
  </w:num>
  <w:num w:numId="4" w16cid:durableId="1873612283">
    <w:abstractNumId w:val="3"/>
  </w:num>
  <w:num w:numId="5" w16cid:durableId="1195574965">
    <w:abstractNumId w:val="8"/>
  </w:num>
  <w:num w:numId="6" w16cid:durableId="1156796708">
    <w:abstractNumId w:val="4"/>
  </w:num>
  <w:num w:numId="7" w16cid:durableId="901404555">
    <w:abstractNumId w:val="5"/>
  </w:num>
  <w:num w:numId="8" w16cid:durableId="1016426032">
    <w:abstractNumId w:val="6"/>
  </w:num>
  <w:num w:numId="9" w16cid:durableId="911475967">
    <w:abstractNumId w:val="7"/>
  </w:num>
  <w:num w:numId="10" w16cid:durableId="20183389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2DD"/>
    <w:rsid w:val="0000602D"/>
    <w:rsid w:val="00006598"/>
    <w:rsid w:val="000130EC"/>
    <w:rsid w:val="00032473"/>
    <w:rsid w:val="0004503A"/>
    <w:rsid w:val="00060C41"/>
    <w:rsid w:val="000655FF"/>
    <w:rsid w:val="00067163"/>
    <w:rsid w:val="00074035"/>
    <w:rsid w:val="00075E27"/>
    <w:rsid w:val="00087112"/>
    <w:rsid w:val="0009440A"/>
    <w:rsid w:val="000A609A"/>
    <w:rsid w:val="000B082D"/>
    <w:rsid w:val="000B4BCF"/>
    <w:rsid w:val="000D6A46"/>
    <w:rsid w:val="000E1EEA"/>
    <w:rsid w:val="000E6D13"/>
    <w:rsid w:val="000E7916"/>
    <w:rsid w:val="00116B82"/>
    <w:rsid w:val="001279F7"/>
    <w:rsid w:val="00131D2D"/>
    <w:rsid w:val="00135697"/>
    <w:rsid w:val="00137EA1"/>
    <w:rsid w:val="00145A10"/>
    <w:rsid w:val="00150261"/>
    <w:rsid w:val="001537F1"/>
    <w:rsid w:val="00155C98"/>
    <w:rsid w:val="001630EE"/>
    <w:rsid w:val="00170D15"/>
    <w:rsid w:val="00175269"/>
    <w:rsid w:val="0017658F"/>
    <w:rsid w:val="00194567"/>
    <w:rsid w:val="001E2EA8"/>
    <w:rsid w:val="00210F6B"/>
    <w:rsid w:val="00216569"/>
    <w:rsid w:val="00217021"/>
    <w:rsid w:val="00227451"/>
    <w:rsid w:val="002317CB"/>
    <w:rsid w:val="00237CBF"/>
    <w:rsid w:val="00241245"/>
    <w:rsid w:val="00251B2B"/>
    <w:rsid w:val="00256438"/>
    <w:rsid w:val="00260F7B"/>
    <w:rsid w:val="00280EB9"/>
    <w:rsid w:val="002967BA"/>
    <w:rsid w:val="002B481E"/>
    <w:rsid w:val="002D2D32"/>
    <w:rsid w:val="002D5F93"/>
    <w:rsid w:val="00302960"/>
    <w:rsid w:val="00302FA4"/>
    <w:rsid w:val="00305EDD"/>
    <w:rsid w:val="00312590"/>
    <w:rsid w:val="00313F9A"/>
    <w:rsid w:val="003303A9"/>
    <w:rsid w:val="003356FD"/>
    <w:rsid w:val="00344E14"/>
    <w:rsid w:val="003557E9"/>
    <w:rsid w:val="00357AA3"/>
    <w:rsid w:val="00382C75"/>
    <w:rsid w:val="0039682E"/>
    <w:rsid w:val="003B2AC8"/>
    <w:rsid w:val="003C30E3"/>
    <w:rsid w:val="003E3DA6"/>
    <w:rsid w:val="003F114C"/>
    <w:rsid w:val="003F171A"/>
    <w:rsid w:val="00411BF0"/>
    <w:rsid w:val="0041218F"/>
    <w:rsid w:val="00431448"/>
    <w:rsid w:val="004576B1"/>
    <w:rsid w:val="004603B0"/>
    <w:rsid w:val="00460E7B"/>
    <w:rsid w:val="0046261B"/>
    <w:rsid w:val="00476ABC"/>
    <w:rsid w:val="00490FF5"/>
    <w:rsid w:val="004A0C72"/>
    <w:rsid w:val="004A0C9B"/>
    <w:rsid w:val="004A15E9"/>
    <w:rsid w:val="004A4198"/>
    <w:rsid w:val="004B1183"/>
    <w:rsid w:val="004C3E8F"/>
    <w:rsid w:val="004C53F2"/>
    <w:rsid w:val="004E619B"/>
    <w:rsid w:val="004F00B6"/>
    <w:rsid w:val="004F382C"/>
    <w:rsid w:val="004F6F75"/>
    <w:rsid w:val="00501E12"/>
    <w:rsid w:val="00503519"/>
    <w:rsid w:val="00510504"/>
    <w:rsid w:val="00527EAF"/>
    <w:rsid w:val="00537EDD"/>
    <w:rsid w:val="00541667"/>
    <w:rsid w:val="005460E7"/>
    <w:rsid w:val="00552F87"/>
    <w:rsid w:val="00555523"/>
    <w:rsid w:val="00565295"/>
    <w:rsid w:val="005752B4"/>
    <w:rsid w:val="005752B9"/>
    <w:rsid w:val="00580AE8"/>
    <w:rsid w:val="00590666"/>
    <w:rsid w:val="005937F7"/>
    <w:rsid w:val="00594C10"/>
    <w:rsid w:val="005A2D90"/>
    <w:rsid w:val="005A59E2"/>
    <w:rsid w:val="005C173B"/>
    <w:rsid w:val="005C67A3"/>
    <w:rsid w:val="005D1801"/>
    <w:rsid w:val="005D6DB7"/>
    <w:rsid w:val="005F2738"/>
    <w:rsid w:val="005F47FB"/>
    <w:rsid w:val="005F63D2"/>
    <w:rsid w:val="005F7542"/>
    <w:rsid w:val="005F7CC2"/>
    <w:rsid w:val="006033C5"/>
    <w:rsid w:val="00621910"/>
    <w:rsid w:val="006232DD"/>
    <w:rsid w:val="006351BD"/>
    <w:rsid w:val="00643293"/>
    <w:rsid w:val="0065222F"/>
    <w:rsid w:val="00662639"/>
    <w:rsid w:val="006664C0"/>
    <w:rsid w:val="0066674B"/>
    <w:rsid w:val="0066748F"/>
    <w:rsid w:val="006731F6"/>
    <w:rsid w:val="00673CFA"/>
    <w:rsid w:val="006778FE"/>
    <w:rsid w:val="00677FEC"/>
    <w:rsid w:val="00684B82"/>
    <w:rsid w:val="00687890"/>
    <w:rsid w:val="006928C6"/>
    <w:rsid w:val="006A6B5E"/>
    <w:rsid w:val="006B2E59"/>
    <w:rsid w:val="006B7AC0"/>
    <w:rsid w:val="006C7DA2"/>
    <w:rsid w:val="006D650E"/>
    <w:rsid w:val="006E0154"/>
    <w:rsid w:val="006E5F92"/>
    <w:rsid w:val="006F38BC"/>
    <w:rsid w:val="00712E57"/>
    <w:rsid w:val="00725ECC"/>
    <w:rsid w:val="007359A8"/>
    <w:rsid w:val="00740CBD"/>
    <w:rsid w:val="007410C1"/>
    <w:rsid w:val="007507D2"/>
    <w:rsid w:val="00751653"/>
    <w:rsid w:val="0075374C"/>
    <w:rsid w:val="00764699"/>
    <w:rsid w:val="00780D80"/>
    <w:rsid w:val="00793077"/>
    <w:rsid w:val="007961BE"/>
    <w:rsid w:val="00797FCC"/>
    <w:rsid w:val="007B0DA1"/>
    <w:rsid w:val="007B2DAC"/>
    <w:rsid w:val="007B6445"/>
    <w:rsid w:val="007D0C0E"/>
    <w:rsid w:val="007D2303"/>
    <w:rsid w:val="007F2179"/>
    <w:rsid w:val="00804D85"/>
    <w:rsid w:val="00813FD7"/>
    <w:rsid w:val="00815174"/>
    <w:rsid w:val="00817B68"/>
    <w:rsid w:val="0082640C"/>
    <w:rsid w:val="0082750C"/>
    <w:rsid w:val="00837940"/>
    <w:rsid w:val="00844270"/>
    <w:rsid w:val="00845FC4"/>
    <w:rsid w:val="00852D29"/>
    <w:rsid w:val="008565DF"/>
    <w:rsid w:val="0087089A"/>
    <w:rsid w:val="00894B64"/>
    <w:rsid w:val="008A0120"/>
    <w:rsid w:val="008A5DA4"/>
    <w:rsid w:val="008B474B"/>
    <w:rsid w:val="008B5D41"/>
    <w:rsid w:val="008C069B"/>
    <w:rsid w:val="008C5753"/>
    <w:rsid w:val="008D08D5"/>
    <w:rsid w:val="008D34AD"/>
    <w:rsid w:val="008D49FD"/>
    <w:rsid w:val="008D6DB9"/>
    <w:rsid w:val="008F7406"/>
    <w:rsid w:val="0090055C"/>
    <w:rsid w:val="00910ABE"/>
    <w:rsid w:val="00911F99"/>
    <w:rsid w:val="00920637"/>
    <w:rsid w:val="009219BB"/>
    <w:rsid w:val="009324CA"/>
    <w:rsid w:val="00943FB1"/>
    <w:rsid w:val="00945BC8"/>
    <w:rsid w:val="00950EB2"/>
    <w:rsid w:val="00970929"/>
    <w:rsid w:val="00970CEB"/>
    <w:rsid w:val="00971CEF"/>
    <w:rsid w:val="00985E10"/>
    <w:rsid w:val="009B3A94"/>
    <w:rsid w:val="009C6CAE"/>
    <w:rsid w:val="009C7DF8"/>
    <w:rsid w:val="009F0939"/>
    <w:rsid w:val="009F1C6A"/>
    <w:rsid w:val="009F2139"/>
    <w:rsid w:val="00A00E93"/>
    <w:rsid w:val="00A02D3D"/>
    <w:rsid w:val="00A04563"/>
    <w:rsid w:val="00A14ED5"/>
    <w:rsid w:val="00A26568"/>
    <w:rsid w:val="00A40A0B"/>
    <w:rsid w:val="00A462A8"/>
    <w:rsid w:val="00A60954"/>
    <w:rsid w:val="00A657D0"/>
    <w:rsid w:val="00A87855"/>
    <w:rsid w:val="00A942F5"/>
    <w:rsid w:val="00AA610B"/>
    <w:rsid w:val="00AB08D3"/>
    <w:rsid w:val="00AB10D9"/>
    <w:rsid w:val="00AC0989"/>
    <w:rsid w:val="00AC1621"/>
    <w:rsid w:val="00AC5AC4"/>
    <w:rsid w:val="00AD4E16"/>
    <w:rsid w:val="00AE323E"/>
    <w:rsid w:val="00AE4D6F"/>
    <w:rsid w:val="00B0499B"/>
    <w:rsid w:val="00B1613B"/>
    <w:rsid w:val="00B2079F"/>
    <w:rsid w:val="00B32C4C"/>
    <w:rsid w:val="00B3537A"/>
    <w:rsid w:val="00B43A94"/>
    <w:rsid w:val="00B45145"/>
    <w:rsid w:val="00B47FE7"/>
    <w:rsid w:val="00B93624"/>
    <w:rsid w:val="00B94D90"/>
    <w:rsid w:val="00BA1469"/>
    <w:rsid w:val="00BA7C97"/>
    <w:rsid w:val="00BB1F38"/>
    <w:rsid w:val="00BC55DF"/>
    <w:rsid w:val="00BD5F6E"/>
    <w:rsid w:val="00BE2D60"/>
    <w:rsid w:val="00BE5E8D"/>
    <w:rsid w:val="00C10AB3"/>
    <w:rsid w:val="00C27193"/>
    <w:rsid w:val="00C361D8"/>
    <w:rsid w:val="00C3720F"/>
    <w:rsid w:val="00C61B25"/>
    <w:rsid w:val="00C6409A"/>
    <w:rsid w:val="00C74BE9"/>
    <w:rsid w:val="00C91927"/>
    <w:rsid w:val="00C9390E"/>
    <w:rsid w:val="00C96F01"/>
    <w:rsid w:val="00CA354A"/>
    <w:rsid w:val="00CC29D1"/>
    <w:rsid w:val="00CC6C55"/>
    <w:rsid w:val="00CE13C6"/>
    <w:rsid w:val="00CF4F9C"/>
    <w:rsid w:val="00CF724B"/>
    <w:rsid w:val="00D06440"/>
    <w:rsid w:val="00D073B2"/>
    <w:rsid w:val="00D10478"/>
    <w:rsid w:val="00D24EF1"/>
    <w:rsid w:val="00D3261A"/>
    <w:rsid w:val="00D37AF9"/>
    <w:rsid w:val="00D42BED"/>
    <w:rsid w:val="00D4626C"/>
    <w:rsid w:val="00D47710"/>
    <w:rsid w:val="00D54451"/>
    <w:rsid w:val="00D62B3D"/>
    <w:rsid w:val="00D66D60"/>
    <w:rsid w:val="00D730D9"/>
    <w:rsid w:val="00D74DB8"/>
    <w:rsid w:val="00D75A23"/>
    <w:rsid w:val="00D8045A"/>
    <w:rsid w:val="00D82055"/>
    <w:rsid w:val="00D93676"/>
    <w:rsid w:val="00DA33BF"/>
    <w:rsid w:val="00DA66FB"/>
    <w:rsid w:val="00DB19C9"/>
    <w:rsid w:val="00DB3B50"/>
    <w:rsid w:val="00DB6AD2"/>
    <w:rsid w:val="00DC4AD7"/>
    <w:rsid w:val="00DF218B"/>
    <w:rsid w:val="00DF56E0"/>
    <w:rsid w:val="00DF6F2E"/>
    <w:rsid w:val="00E043B1"/>
    <w:rsid w:val="00E20D5B"/>
    <w:rsid w:val="00E21F60"/>
    <w:rsid w:val="00E2680A"/>
    <w:rsid w:val="00E658A0"/>
    <w:rsid w:val="00E67801"/>
    <w:rsid w:val="00E73D3E"/>
    <w:rsid w:val="00E75E63"/>
    <w:rsid w:val="00E94385"/>
    <w:rsid w:val="00E948C0"/>
    <w:rsid w:val="00EA1A55"/>
    <w:rsid w:val="00ED078E"/>
    <w:rsid w:val="00ED4D6D"/>
    <w:rsid w:val="00EE3B44"/>
    <w:rsid w:val="00EE633A"/>
    <w:rsid w:val="00EF123D"/>
    <w:rsid w:val="00EF208B"/>
    <w:rsid w:val="00EF479A"/>
    <w:rsid w:val="00F10455"/>
    <w:rsid w:val="00F13038"/>
    <w:rsid w:val="00F21B1D"/>
    <w:rsid w:val="00F222B8"/>
    <w:rsid w:val="00F24ADC"/>
    <w:rsid w:val="00F27A57"/>
    <w:rsid w:val="00F3143C"/>
    <w:rsid w:val="00F362A1"/>
    <w:rsid w:val="00F53857"/>
    <w:rsid w:val="00F5587A"/>
    <w:rsid w:val="00F6151B"/>
    <w:rsid w:val="00F65C0C"/>
    <w:rsid w:val="00F65F20"/>
    <w:rsid w:val="00F6709C"/>
    <w:rsid w:val="00F771B8"/>
    <w:rsid w:val="00F81AEB"/>
    <w:rsid w:val="00F86C9C"/>
    <w:rsid w:val="00F96316"/>
    <w:rsid w:val="00FA0B03"/>
    <w:rsid w:val="00FE3FB1"/>
    <w:rsid w:val="00FF5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846BDC"/>
  <w15:docId w15:val="{39E8830D-D6DF-F649-9E58-BA4ECB16A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B3A94"/>
    <w:pPr>
      <w:spacing w:after="120" w:line="300" w:lineRule="exact"/>
      <w:jc w:val="both"/>
    </w:pPr>
    <w:rPr>
      <w:rFonts w:ascii="Lato" w:hAnsi="Lato" w:cs="Times New Roman (Textkörper CS)"/>
      <w:color w:val="5F504B"/>
      <w:sz w:val="20"/>
    </w:rPr>
  </w:style>
  <w:style w:type="paragraph" w:styleId="berschrift1">
    <w:name w:val="heading 1"/>
    <w:aliases w:val="Headline (Kopfzeile)"/>
    <w:next w:val="Standard"/>
    <w:link w:val="berschrift1Zchn"/>
    <w:uiPriority w:val="9"/>
    <w:qFormat/>
    <w:rsid w:val="0082640C"/>
    <w:pPr>
      <w:keepNext/>
      <w:keepLines/>
      <w:snapToGrid w:val="0"/>
      <w:outlineLvl w:val="0"/>
    </w:pPr>
    <w:rPr>
      <w:rFonts w:ascii="Lato" w:eastAsiaTheme="majorEastAsia" w:hAnsi="Lato" w:cstheme="majorBidi"/>
      <w:b/>
      <w:color w:val="FFFFFF" w:themeColor="background1"/>
      <w:sz w:val="60"/>
      <w:szCs w:val="32"/>
    </w:rPr>
  </w:style>
  <w:style w:type="paragraph" w:styleId="berschrift2">
    <w:name w:val="heading 2"/>
    <w:aliases w:val="Subline (Kopfzeile)"/>
    <w:next w:val="Standard"/>
    <w:link w:val="berschrift2Zchn"/>
    <w:uiPriority w:val="9"/>
    <w:unhideWhenUsed/>
    <w:qFormat/>
    <w:rsid w:val="00431448"/>
    <w:pPr>
      <w:snapToGrid w:val="0"/>
      <w:outlineLvl w:val="1"/>
    </w:pPr>
    <w:rPr>
      <w:rFonts w:ascii="Lato" w:eastAsiaTheme="majorEastAsia" w:hAnsi="Lato" w:cs="Times New Roman (Überschriften"/>
      <w:b/>
      <w:color w:val="E64637"/>
      <w:spacing w:val="20"/>
      <w:szCs w:val="26"/>
    </w:rPr>
  </w:style>
  <w:style w:type="paragraph" w:styleId="berschrift3">
    <w:name w:val="heading 3"/>
    <w:aliases w:val="Headline"/>
    <w:basedOn w:val="Standard"/>
    <w:next w:val="berschrift4"/>
    <w:link w:val="berschrift3Zchn"/>
    <w:autoRedefine/>
    <w:uiPriority w:val="9"/>
    <w:unhideWhenUsed/>
    <w:qFormat/>
    <w:rsid w:val="00E73D3E"/>
    <w:pPr>
      <w:keepNext/>
      <w:keepLines/>
      <w:spacing w:line="520" w:lineRule="exact"/>
      <w:jc w:val="left"/>
      <w:outlineLvl w:val="2"/>
    </w:pPr>
    <w:rPr>
      <w:rFonts w:ascii="Lato Black" w:eastAsiaTheme="majorEastAsia" w:hAnsi="Lato Black" w:cstheme="majorBidi"/>
      <w:b/>
      <w:color w:val="FF0000"/>
      <w:sz w:val="46"/>
      <w:szCs w:val="46"/>
    </w:rPr>
  </w:style>
  <w:style w:type="paragraph" w:styleId="berschrift4">
    <w:name w:val="heading 4"/>
    <w:aliases w:val="Subheadline"/>
    <w:basedOn w:val="Standard"/>
    <w:next w:val="Standard"/>
    <w:link w:val="berschrift4Zchn"/>
    <w:uiPriority w:val="9"/>
    <w:unhideWhenUsed/>
    <w:qFormat/>
    <w:rsid w:val="008B5D41"/>
    <w:pPr>
      <w:spacing w:after="240" w:line="340" w:lineRule="exact"/>
      <w:jc w:val="left"/>
      <w:outlineLvl w:val="3"/>
    </w:pPr>
    <w:rPr>
      <w:rFonts w:eastAsiaTheme="majorEastAsia" w:cstheme="majorBidi"/>
      <w:b/>
      <w:iCs/>
      <w:sz w:val="30"/>
    </w:rPr>
  </w:style>
  <w:style w:type="paragraph" w:styleId="berschrift5">
    <w:name w:val="heading 5"/>
    <w:aliases w:val="Zwischenüberschrift"/>
    <w:basedOn w:val="Standard"/>
    <w:next w:val="Standard"/>
    <w:link w:val="berschrift5Zchn"/>
    <w:uiPriority w:val="9"/>
    <w:unhideWhenUsed/>
    <w:qFormat/>
    <w:rsid w:val="00F21B1D"/>
    <w:pPr>
      <w:keepNext/>
      <w:spacing w:after="0"/>
      <w:jc w:val="left"/>
      <w:outlineLvl w:val="4"/>
    </w:pPr>
    <w:rPr>
      <w:rFonts w:ascii="Lato Black" w:eastAsiaTheme="majorEastAsia" w:hAnsi="Lato Black" w:cstheme="majorBidi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F093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F0939"/>
  </w:style>
  <w:style w:type="paragraph" w:styleId="Fuzeile">
    <w:name w:val="footer"/>
    <w:basedOn w:val="Standard"/>
    <w:next w:val="Standard"/>
    <w:link w:val="FuzeileZchn"/>
    <w:autoRedefine/>
    <w:uiPriority w:val="99"/>
    <w:unhideWhenUsed/>
    <w:qFormat/>
    <w:rsid w:val="0000602D"/>
    <w:pPr>
      <w:tabs>
        <w:tab w:val="left" w:pos="944"/>
        <w:tab w:val="right" w:pos="9469"/>
      </w:tabs>
      <w:spacing w:before="240"/>
      <w:jc w:val="left"/>
    </w:pPr>
    <w:rPr>
      <w:b/>
      <w:i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00602D"/>
    <w:rPr>
      <w:rFonts w:ascii="Lato" w:hAnsi="Lato" w:cs="Times New Roman (Textkörper CS)"/>
      <w:b/>
      <w:i/>
      <w:color w:val="5F504B"/>
      <w:sz w:val="16"/>
    </w:rPr>
  </w:style>
  <w:style w:type="paragraph" w:customStyle="1" w:styleId="EinfacherAbsatz">
    <w:name w:val="[Einfacher Absatz]"/>
    <w:basedOn w:val="Standard"/>
    <w:uiPriority w:val="99"/>
    <w:rsid w:val="009F093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val="fr-FR" w:eastAsia="fr-FR" w:bidi="fr-FR"/>
    </w:rPr>
  </w:style>
  <w:style w:type="character" w:styleId="Hyperlink">
    <w:name w:val="Hyperlink"/>
    <w:basedOn w:val="Absatz-Standardschriftart"/>
    <w:uiPriority w:val="99"/>
    <w:unhideWhenUsed/>
    <w:qFormat/>
    <w:rsid w:val="009F0939"/>
    <w:rPr>
      <w:rFonts w:ascii="Lato" w:hAnsi="Lato"/>
      <w:color w:val="E64637"/>
      <w:sz w:val="20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qFormat/>
    <w:rsid w:val="009F0939"/>
    <w:rPr>
      <w:color w:val="A19996"/>
      <w:u w:val="single"/>
    </w:rPr>
  </w:style>
  <w:style w:type="character" w:customStyle="1" w:styleId="berschrift1Zchn">
    <w:name w:val="Überschrift 1 Zchn"/>
    <w:aliases w:val="Headline (Kopfzeile) Zchn"/>
    <w:basedOn w:val="Absatz-Standardschriftart"/>
    <w:link w:val="berschrift1"/>
    <w:uiPriority w:val="9"/>
    <w:rsid w:val="0082640C"/>
    <w:rPr>
      <w:rFonts w:ascii="Lato" w:eastAsiaTheme="majorEastAsia" w:hAnsi="Lato" w:cstheme="majorBidi"/>
      <w:b/>
      <w:color w:val="FFFFFF" w:themeColor="background1"/>
      <w:sz w:val="60"/>
      <w:szCs w:val="32"/>
    </w:rPr>
  </w:style>
  <w:style w:type="character" w:customStyle="1" w:styleId="berschrift2Zchn">
    <w:name w:val="Überschrift 2 Zchn"/>
    <w:aliases w:val="Subline (Kopfzeile) Zchn"/>
    <w:basedOn w:val="Absatz-Standardschriftart"/>
    <w:link w:val="berschrift2"/>
    <w:uiPriority w:val="9"/>
    <w:rsid w:val="00431448"/>
    <w:rPr>
      <w:rFonts w:ascii="Lato" w:eastAsiaTheme="majorEastAsia" w:hAnsi="Lato" w:cs="Times New Roman (Überschriften"/>
      <w:b/>
      <w:color w:val="E64637"/>
      <w:spacing w:val="20"/>
      <w:szCs w:val="26"/>
    </w:rPr>
  </w:style>
  <w:style w:type="character" w:customStyle="1" w:styleId="berschrift3Zchn">
    <w:name w:val="Überschrift 3 Zchn"/>
    <w:aliases w:val="Headline Zchn"/>
    <w:basedOn w:val="Absatz-Standardschriftart"/>
    <w:link w:val="berschrift3"/>
    <w:uiPriority w:val="9"/>
    <w:rsid w:val="00E73D3E"/>
    <w:rPr>
      <w:rFonts w:ascii="Lato Black" w:eastAsiaTheme="majorEastAsia" w:hAnsi="Lato Black" w:cstheme="majorBidi"/>
      <w:b/>
      <w:color w:val="FF0000"/>
      <w:sz w:val="46"/>
      <w:szCs w:val="46"/>
    </w:rPr>
  </w:style>
  <w:style w:type="character" w:customStyle="1" w:styleId="berschrift5Zchn">
    <w:name w:val="Überschrift 5 Zchn"/>
    <w:aliases w:val="Zwischenüberschrift Zchn"/>
    <w:basedOn w:val="Absatz-Standardschriftart"/>
    <w:link w:val="berschrift5"/>
    <w:uiPriority w:val="9"/>
    <w:rsid w:val="00F21B1D"/>
    <w:rPr>
      <w:rFonts w:ascii="Lato Black" w:eastAsiaTheme="majorEastAsia" w:hAnsi="Lato Black" w:cstheme="majorBidi"/>
      <w:b/>
      <w:color w:val="5F504B"/>
      <w:sz w:val="20"/>
    </w:rPr>
  </w:style>
  <w:style w:type="character" w:customStyle="1" w:styleId="berschrift4Zchn">
    <w:name w:val="Überschrift 4 Zchn"/>
    <w:aliases w:val="Subheadline Zchn"/>
    <w:basedOn w:val="Absatz-Standardschriftart"/>
    <w:link w:val="berschrift4"/>
    <w:uiPriority w:val="9"/>
    <w:rsid w:val="008B5D41"/>
    <w:rPr>
      <w:rFonts w:ascii="Lato" w:eastAsiaTheme="majorEastAsia" w:hAnsi="Lato" w:cstheme="majorBidi"/>
      <w:b/>
      <w:iCs/>
      <w:color w:val="5F504B"/>
      <w:sz w:val="30"/>
    </w:rPr>
  </w:style>
  <w:style w:type="paragraph" w:customStyle="1" w:styleId="Kontakt">
    <w:name w:val="Kontakt"/>
    <w:basedOn w:val="Standard"/>
    <w:next w:val="Standard"/>
    <w:qFormat/>
    <w:rsid w:val="00815174"/>
    <w:pPr>
      <w:keepLines/>
      <w:tabs>
        <w:tab w:val="left" w:pos="5103"/>
      </w:tabs>
      <w:spacing w:after="0"/>
      <w:jc w:val="left"/>
    </w:p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10F6B"/>
    <w:rPr>
      <w:color w:val="605E5C"/>
      <w:shd w:val="clear" w:color="auto" w:fill="E1DFDD"/>
    </w:rPr>
  </w:style>
  <w:style w:type="paragraph" w:customStyle="1" w:styleId="Einleitung">
    <w:name w:val="Einleitung"/>
    <w:basedOn w:val="Standard"/>
    <w:qFormat/>
    <w:rsid w:val="00815174"/>
    <w:pPr>
      <w:spacing w:after="240"/>
    </w:pPr>
    <w:rPr>
      <w:b/>
      <w:i/>
    </w:rPr>
  </w:style>
  <w:style w:type="paragraph" w:customStyle="1" w:styleId="KeinAbsatzformat">
    <w:name w:val="[Kein Absatzformat]"/>
    <w:rsid w:val="00712E57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D4E1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D4E16"/>
    <w:rPr>
      <w:rFonts w:ascii="Times New Roman" w:hAnsi="Times New Roman" w:cs="Times New Roman"/>
      <w:color w:val="5F504B"/>
      <w:sz w:val="18"/>
      <w:szCs w:val="18"/>
    </w:rPr>
  </w:style>
  <w:style w:type="paragraph" w:styleId="Aufzhlungszeichen">
    <w:name w:val="List Bullet"/>
    <w:basedOn w:val="Standard"/>
    <w:uiPriority w:val="99"/>
    <w:unhideWhenUsed/>
    <w:rsid w:val="00150261"/>
    <w:pPr>
      <w:numPr>
        <w:numId w:val="10"/>
      </w:numPr>
      <w:contextualSpacing/>
    </w:pPr>
  </w:style>
  <w:style w:type="paragraph" w:styleId="Datum">
    <w:name w:val="Date"/>
    <w:basedOn w:val="Standard"/>
    <w:next w:val="Standard"/>
    <w:link w:val="DatumZchn"/>
    <w:uiPriority w:val="99"/>
    <w:unhideWhenUsed/>
    <w:rsid w:val="00155C98"/>
    <w:pPr>
      <w:spacing w:before="120" w:after="240"/>
    </w:pPr>
    <w:rPr>
      <w:i/>
      <w:color w:val="A19996"/>
      <w:sz w:val="18"/>
    </w:rPr>
  </w:style>
  <w:style w:type="character" w:customStyle="1" w:styleId="DatumZchn">
    <w:name w:val="Datum Zchn"/>
    <w:basedOn w:val="Absatz-Standardschriftart"/>
    <w:link w:val="Datum"/>
    <w:uiPriority w:val="99"/>
    <w:rsid w:val="00155C98"/>
    <w:rPr>
      <w:rFonts w:ascii="Lato" w:hAnsi="Lato" w:cs="Times New Roman (Textkörper CS)"/>
      <w:i/>
      <w:color w:val="A19996"/>
      <w:sz w:val="18"/>
    </w:rPr>
  </w:style>
  <w:style w:type="paragraph" w:customStyle="1" w:styleId="Default">
    <w:name w:val="Default"/>
    <w:rsid w:val="00780D80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StandardWeb">
    <w:name w:val="Normal (Web)"/>
    <w:basedOn w:val="Standard"/>
    <w:uiPriority w:val="99"/>
    <w:semiHidden/>
    <w:unhideWhenUsed/>
    <w:rsid w:val="004A0C9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603B0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4C3E8F"/>
    <w:rPr>
      <w:rFonts w:ascii="Lato" w:hAnsi="Lato" w:cs="Times New Roman (Textkörper CS)"/>
      <w:color w:val="5F504B"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C3E8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C3E8F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C3E8F"/>
    <w:rPr>
      <w:rFonts w:ascii="Lato" w:hAnsi="Lato" w:cs="Times New Roman (Textkörper CS)"/>
      <w:color w:val="5F504B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C3E8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C3E8F"/>
    <w:rPr>
      <w:rFonts w:ascii="Lato" w:hAnsi="Lato" w:cs="Times New Roman (Textkörper CS)"/>
      <w:b/>
      <w:bCs/>
      <w:color w:val="5F504B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2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81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6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30314">
          <w:marLeft w:val="0"/>
          <w:marRight w:val="450"/>
          <w:marTop w:val="0"/>
          <w:marBottom w:val="45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3136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0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5052767">
          <w:marLeft w:val="0"/>
          <w:marRight w:val="450"/>
          <w:marTop w:val="0"/>
          <w:marBottom w:val="45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938953956">
          <w:marLeft w:val="0"/>
          <w:marRight w:val="450"/>
          <w:marTop w:val="0"/>
          <w:marBottom w:val="45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49368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127667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60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43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hyperlink" Target="mailto:gutex@maipr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://www.gutex.de" TargetMode="External"/><Relationship Id="rId17" Type="http://schemas.openxmlformats.org/officeDocument/2006/relationships/hyperlink" Target="mailto:clemens.jesenitschnig@gutex.d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gutex.de/home/" TargetMode="External"/><Relationship Id="rId20" Type="http://schemas.openxmlformats.org/officeDocument/2006/relationships/hyperlink" Target="mailto:info@gutex.de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://gutex.de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399F1675D41D448114D3AE46A5BDF6" ma:contentTypeVersion="13" ma:contentTypeDescription="Ein neues Dokument erstellen." ma:contentTypeScope="" ma:versionID="e8a8f51de136c5715d8bdbdccb2099f0">
  <xsd:schema xmlns:xsd="http://www.w3.org/2001/XMLSchema" xmlns:xs="http://www.w3.org/2001/XMLSchema" xmlns:p="http://schemas.microsoft.com/office/2006/metadata/properties" xmlns:ns2="9e186832-33c4-4deb-aef4-1a5ff0fe68a5" xmlns:ns3="8e4ad750-3c0a-48ec-b806-5b59a1cb3bb1" targetNamespace="http://schemas.microsoft.com/office/2006/metadata/properties" ma:root="true" ma:fieldsID="ae52fc34d2f5ef24adf7486f2d588692" ns2:_="" ns3:_="">
    <xsd:import namespace="9e186832-33c4-4deb-aef4-1a5ff0fe68a5"/>
    <xsd:import namespace="8e4ad750-3c0a-48ec-b806-5b59a1cb3bb1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186832-33c4-4deb-aef4-1a5ff0fe68a5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6a533f13-a72b-4109-b9c6-1fceff0b7a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4ad750-3c0a-48ec-b806-5b59a1cb3bb1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a3474f5-6af2-4aa8-871f-a14c53bdaca1}" ma:internalName="TaxCatchAll" ma:showField="CatchAllData" ma:web="8e4ad750-3c0a-48ec-b806-5b59a1cb3b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4ad750-3c0a-48ec-b806-5b59a1cb3bb1" xsi:nil="true"/>
    <lcf76f155ced4ddcb4097134ff3c332f xmlns="9e186832-33c4-4deb-aef4-1a5ff0fe68a5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62B350-81AE-428A-962B-5D4A7852CA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186832-33c4-4deb-aef4-1a5ff0fe68a5"/>
    <ds:schemaRef ds:uri="8e4ad750-3c0a-48ec-b806-5b59a1cb3b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61515F-BA06-884F-94A7-927D9213312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5D15D5-48B8-40FB-80B4-1BA2A0C74AB4}">
  <ds:schemaRefs>
    <ds:schemaRef ds:uri="http://schemas.microsoft.com/office/2006/metadata/properties"/>
    <ds:schemaRef ds:uri="http://schemas.microsoft.com/office/infopath/2007/PartnerControls"/>
    <ds:schemaRef ds:uri="8e4ad750-3c0a-48ec-b806-5b59a1cb3bb1"/>
    <ds:schemaRef ds:uri="9e186832-33c4-4deb-aef4-1a5ff0fe68a5"/>
  </ds:schemaRefs>
</ds:datastoreItem>
</file>

<file path=customXml/itemProps4.xml><?xml version="1.0" encoding="utf-8"?>
<ds:datastoreItem xmlns:ds="http://schemas.openxmlformats.org/officeDocument/2006/customXml" ds:itemID="{4E06A9EE-795D-461D-9AFB-C3D47519C8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826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6020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Konto HB2019</dc:creator>
  <cp:keywords/>
  <dc:description/>
  <cp:lastModifiedBy>Office Konto HB2019</cp:lastModifiedBy>
  <cp:revision>4</cp:revision>
  <cp:lastPrinted>2023-11-16T13:31:00Z</cp:lastPrinted>
  <dcterms:created xsi:type="dcterms:W3CDTF">2023-11-16T13:30:00Z</dcterms:created>
  <dcterms:modified xsi:type="dcterms:W3CDTF">2023-11-16T13:31:00Z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0x01010099399F1675D41D448114D3AE46A5BDF6</vt:lpwstr>
  </property>
</Properties>
</file>