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9063" w14:textId="6A504C2B" w:rsidR="001F08B2" w:rsidRPr="005B0160" w:rsidRDefault="000B15B8" w:rsidP="002210FC">
      <w:pPr>
        <w:spacing w:after="0" w:line="240" w:lineRule="auto"/>
        <w:rPr>
          <w:rFonts w:ascii="Akkurat Pro" w:hAnsi="Akkurat Pro" w:cs="Arial"/>
          <w:b/>
          <w:sz w:val="24"/>
          <w:szCs w:val="24"/>
        </w:rPr>
      </w:pPr>
      <w:r>
        <w:rPr>
          <w:rFonts w:ascii="Akkurat Pro" w:hAnsi="Akkurat Pro"/>
          <w:b/>
          <w:sz w:val="32"/>
          <w:szCs w:val="32"/>
        </w:rPr>
        <w:t>Communiqué de presse 09/2022</w:t>
      </w:r>
      <w:r>
        <w:rPr>
          <w:rFonts w:ascii="Akkurat Pro" w:hAnsi="Akkurat Pro"/>
        </w:rPr>
        <w:br/>
      </w:r>
    </w:p>
    <w:p w14:paraId="7F5F88AA" w14:textId="1C024421" w:rsidR="00043534" w:rsidRPr="00043534" w:rsidRDefault="00043534" w:rsidP="00043534">
      <w:pPr>
        <w:rPr>
          <w:rFonts w:ascii="Akkurat Pro" w:hAnsi="Akkurat Pro" w:cs="Arial"/>
          <w:sz w:val="28"/>
          <w:szCs w:val="32"/>
          <w:lang w:val="en-US"/>
        </w:rPr>
      </w:pPr>
      <w:r w:rsidRPr="00630EBE">
        <w:rPr>
          <w:rFonts w:ascii="Akkurat Pro" w:hAnsi="Akkurat Pro" w:cs="Arial"/>
          <w:sz w:val="28"/>
          <w:szCs w:val="32"/>
          <w:lang w:val="en-US"/>
        </w:rPr>
        <w:t xml:space="preserve">Nous </w:t>
      </w:r>
      <w:proofErr w:type="spellStart"/>
      <w:r w:rsidRPr="00630EBE">
        <w:rPr>
          <w:rFonts w:ascii="Akkurat Pro" w:hAnsi="Akkurat Pro" w:cs="Arial"/>
          <w:sz w:val="28"/>
          <w:szCs w:val="32"/>
          <w:lang w:val="en-US"/>
        </w:rPr>
        <w:t>vous</w:t>
      </w:r>
      <w:proofErr w:type="spellEnd"/>
      <w:r w:rsidRPr="00630EBE">
        <w:rPr>
          <w:rFonts w:ascii="Akkurat Pro" w:hAnsi="Akkurat Pro" w:cs="Arial"/>
          <w:sz w:val="28"/>
          <w:szCs w:val="32"/>
          <w:lang w:val="en-US"/>
        </w:rPr>
        <w:t xml:space="preserve"> prions de ne pas </w:t>
      </w:r>
      <w:proofErr w:type="spellStart"/>
      <w:r w:rsidRPr="00630EBE">
        <w:rPr>
          <w:rFonts w:ascii="Akkurat Pro" w:hAnsi="Akkurat Pro" w:cs="Arial"/>
          <w:sz w:val="28"/>
          <w:szCs w:val="32"/>
          <w:lang w:val="en-US"/>
        </w:rPr>
        <w:t>publier</w:t>
      </w:r>
      <w:proofErr w:type="spellEnd"/>
      <w:r w:rsidRPr="00630EBE">
        <w:rPr>
          <w:rFonts w:ascii="Akkurat Pro" w:hAnsi="Akkurat Pro" w:cs="Arial"/>
          <w:sz w:val="28"/>
          <w:szCs w:val="32"/>
          <w:lang w:val="en-US"/>
        </w:rPr>
        <w:t xml:space="preserve"> </w:t>
      </w:r>
      <w:proofErr w:type="spellStart"/>
      <w:r w:rsidRPr="00630EBE">
        <w:rPr>
          <w:rFonts w:ascii="Akkurat Pro" w:hAnsi="Akkurat Pro" w:cs="Arial"/>
          <w:sz w:val="28"/>
          <w:szCs w:val="32"/>
          <w:lang w:val="en-US"/>
        </w:rPr>
        <w:t>cette</w:t>
      </w:r>
      <w:proofErr w:type="spellEnd"/>
      <w:r w:rsidRPr="00630EBE">
        <w:rPr>
          <w:rFonts w:ascii="Akkurat Pro" w:hAnsi="Akkurat Pro" w:cs="Arial"/>
          <w:sz w:val="28"/>
          <w:szCs w:val="32"/>
          <w:lang w:val="en-US"/>
        </w:rPr>
        <w:t xml:space="preserve"> </w:t>
      </w:r>
      <w:proofErr w:type="spellStart"/>
      <w:r w:rsidRPr="00630EBE">
        <w:rPr>
          <w:rFonts w:ascii="Akkurat Pro" w:hAnsi="Akkurat Pro" w:cs="Arial"/>
          <w:sz w:val="28"/>
          <w:szCs w:val="32"/>
          <w:lang w:val="en-US"/>
        </w:rPr>
        <w:t>annonce</w:t>
      </w:r>
      <w:proofErr w:type="spellEnd"/>
      <w:r w:rsidRPr="00630EBE">
        <w:rPr>
          <w:rFonts w:ascii="Akkurat Pro" w:hAnsi="Akkurat Pro" w:cs="Arial"/>
          <w:sz w:val="28"/>
          <w:szCs w:val="32"/>
          <w:lang w:val="en-US"/>
        </w:rPr>
        <w:t xml:space="preserve"> </w:t>
      </w:r>
      <w:proofErr w:type="spellStart"/>
      <w:r w:rsidRPr="00630EBE">
        <w:rPr>
          <w:rFonts w:ascii="Akkurat Pro" w:hAnsi="Akkurat Pro" w:cs="Arial"/>
          <w:sz w:val="28"/>
          <w:szCs w:val="32"/>
          <w:lang w:val="en-US"/>
        </w:rPr>
        <w:t>avant</w:t>
      </w:r>
      <w:proofErr w:type="spellEnd"/>
      <w:r w:rsidRPr="00630EBE">
        <w:rPr>
          <w:rFonts w:ascii="Akkurat Pro" w:hAnsi="Akkurat Pro" w:cs="Arial"/>
          <w:sz w:val="28"/>
          <w:szCs w:val="32"/>
          <w:lang w:val="en-US"/>
        </w:rPr>
        <w:t xml:space="preserve"> le 5 </w:t>
      </w:r>
      <w:proofErr w:type="spellStart"/>
      <w:r w:rsidRPr="00630EBE">
        <w:rPr>
          <w:rFonts w:ascii="Akkurat Pro" w:hAnsi="Akkurat Pro" w:cs="Arial"/>
          <w:sz w:val="28"/>
          <w:szCs w:val="32"/>
          <w:lang w:val="en-US"/>
        </w:rPr>
        <w:t>octobre</w:t>
      </w:r>
      <w:proofErr w:type="spellEnd"/>
      <w:r w:rsidRPr="00630EBE">
        <w:rPr>
          <w:rFonts w:ascii="Akkurat Pro" w:hAnsi="Akkurat Pro" w:cs="Arial"/>
          <w:sz w:val="28"/>
          <w:szCs w:val="32"/>
          <w:lang w:val="en-US"/>
        </w:rPr>
        <w:t xml:space="preserve"> 2022.</w:t>
      </w:r>
    </w:p>
    <w:p w14:paraId="67A0E751" w14:textId="759A686F" w:rsidR="001B3AE2" w:rsidRPr="001B3AE2" w:rsidRDefault="001B3AE2" w:rsidP="001B3AE2">
      <w:pPr>
        <w:spacing w:after="0"/>
        <w:rPr>
          <w:rFonts w:ascii="Akkurat Pro" w:hAnsi="Akkurat Pro" w:cs="Arial"/>
          <w:b/>
          <w:sz w:val="28"/>
          <w:szCs w:val="28"/>
        </w:rPr>
      </w:pPr>
      <w:r>
        <w:rPr>
          <w:rFonts w:ascii="Akkurat Pro" w:hAnsi="Akkurat Pro"/>
          <w:b/>
          <w:bCs/>
          <w:sz w:val="28"/>
          <w:szCs w:val="28"/>
        </w:rPr>
        <w:t xml:space="preserve">Élégance et décontraction pour la gamme Yonda Lounge </w:t>
      </w:r>
      <w:r>
        <w:rPr>
          <w:rFonts w:ascii="Akkurat Pro" w:hAnsi="Akkurat Pro"/>
          <w:b/>
          <w:bCs/>
          <w:sz w:val="28"/>
          <w:szCs w:val="28"/>
        </w:rPr>
        <w:tab/>
      </w:r>
      <w:r>
        <w:rPr>
          <w:rFonts w:ascii="Akkurat Pro" w:hAnsi="Akkurat Pro"/>
          <w:b/>
          <w:bCs/>
          <w:sz w:val="28"/>
          <w:szCs w:val="28"/>
        </w:rPr>
        <w:tab/>
        <w:t xml:space="preserve">         </w:t>
      </w:r>
      <w:r>
        <w:rPr>
          <w:rFonts w:ascii="Akkurat Pro" w:hAnsi="Akkurat Pro"/>
          <w:bCs/>
          <w:sz w:val="28"/>
          <w:szCs w:val="28"/>
        </w:rPr>
        <w:t>Design : neunzig°design</w:t>
      </w:r>
    </w:p>
    <w:p w14:paraId="2CAAEB1B" w14:textId="0350D97A" w:rsidR="002210FC" w:rsidRDefault="002210FC" w:rsidP="00B2302F">
      <w:pPr>
        <w:spacing w:after="0"/>
        <w:rPr>
          <w:rFonts w:ascii="Akkurat Pro" w:hAnsi="Akkurat Pro" w:cs="Arial"/>
          <w:b/>
          <w:bCs/>
        </w:rPr>
      </w:pPr>
    </w:p>
    <w:p w14:paraId="5B92C7D7" w14:textId="77777777" w:rsidR="001B3AE2" w:rsidRPr="001B3AE2" w:rsidRDefault="001B3AE2" w:rsidP="001B3AE2">
      <w:pPr>
        <w:spacing w:after="0"/>
        <w:rPr>
          <w:rFonts w:ascii="Akkurat Pro" w:hAnsi="Akkurat Pro" w:cs="Arial"/>
          <w:b/>
          <w:bCs/>
        </w:rPr>
      </w:pPr>
      <w:r>
        <w:rPr>
          <w:rFonts w:ascii="Akkurat Pro" w:hAnsi="Akkurat Pro"/>
          <w:b/>
          <w:bCs/>
        </w:rPr>
        <w:t xml:space="preserve">Après avoir présenté au printemps dernier la gamme de sièges à coque universelle Yonda, Wilkhahn propose maintenant la gamme Yonda Lounge, adaptée aux zones d'accueil et de réception, aux zones centrales et de retrait ainsi qu'aux salons. S’agissant de la forme du fauteuil, les designers ont transposé la silhouette originale de Yonda, avec ses accoudoirs nonchalamment intégrés dans le contour, sur une coque d'assise spacieuse et entièrement rembourrée, et ont également repris le concept modulaire du piètement. Le </w:t>
      </w:r>
      <w:proofErr w:type="spellStart"/>
      <w:r>
        <w:rPr>
          <w:rFonts w:ascii="Akkurat Pro" w:hAnsi="Akkurat Pro"/>
          <w:b/>
          <w:bCs/>
        </w:rPr>
        <w:t>Lounger</w:t>
      </w:r>
      <w:proofErr w:type="spellEnd"/>
      <w:r>
        <w:rPr>
          <w:rFonts w:ascii="Akkurat Pro" w:hAnsi="Akkurat Pro"/>
          <w:b/>
          <w:bCs/>
        </w:rPr>
        <w:t xml:space="preserve"> extrêmement confortable est disponible avec un piètement luge, avec des pieds en chêne, et sous forme de fauteuil pivotant avec un piètement à quatre branches en aluminium. L’Ottoman avec piètement luge, un pouf pivotant entièrement rembourré et des tables basses en forme de galets en deux hauteurs de table avec piètement luge complètent la gamme.</w:t>
      </w:r>
    </w:p>
    <w:p w14:paraId="58D14425" w14:textId="25604180" w:rsidR="006B0FF2" w:rsidRDefault="006B0FF2" w:rsidP="00B2302F">
      <w:pPr>
        <w:spacing w:after="0"/>
        <w:rPr>
          <w:rFonts w:ascii="Akkurat Pro" w:hAnsi="Akkurat Pro" w:cs="Arial"/>
          <w:b/>
          <w:bCs/>
        </w:rPr>
      </w:pPr>
    </w:p>
    <w:p w14:paraId="5324648D" w14:textId="4BCDA5C2" w:rsidR="001B3AE2" w:rsidRDefault="00D97CFA" w:rsidP="001B3AE2">
      <w:pPr>
        <w:spacing w:after="0"/>
        <w:rPr>
          <w:rFonts w:ascii="Akkurat Pro" w:hAnsi="Akkurat Pro" w:cs="Arial"/>
          <w:bCs/>
        </w:rPr>
      </w:pPr>
      <w:r>
        <w:rPr>
          <w:rFonts w:ascii="Akkurat Pro" w:hAnsi="Akkurat Pro"/>
          <w:b/>
          <w:bCs/>
        </w:rPr>
        <w:t xml:space="preserve">Bad </w:t>
      </w:r>
      <w:proofErr w:type="spellStart"/>
      <w:r>
        <w:rPr>
          <w:rFonts w:ascii="Akkurat Pro" w:hAnsi="Akkurat Pro"/>
          <w:b/>
          <w:bCs/>
        </w:rPr>
        <w:t>Münder</w:t>
      </w:r>
      <w:proofErr w:type="spellEnd"/>
      <w:r>
        <w:rPr>
          <w:rFonts w:ascii="Akkurat Pro" w:hAnsi="Akkurat Pro"/>
          <w:b/>
          <w:bCs/>
        </w:rPr>
        <w:t>, septembre 2022.</w:t>
      </w:r>
      <w:r>
        <w:rPr>
          <w:rFonts w:ascii="Akkurat Pro" w:hAnsi="Akkurat Pro"/>
          <w:b/>
        </w:rPr>
        <w:t xml:space="preserve"> </w:t>
      </w:r>
      <w:r>
        <w:rPr>
          <w:rFonts w:ascii="Akkurat Pro" w:hAnsi="Akkurat Pro"/>
          <w:bCs/>
        </w:rPr>
        <w:t xml:space="preserve">La gamme de chaises à coque Yonda de neunzig°design se caractérise par une coque d'assise particulièrement ergonomique, des accoudoirs intégrés de manière fluide dans le contour de la coque, des matériaux durables et des possibilités de combinaison modulaire avec différents piètements. L'idée est née très tôt de compléter les espaces informels et très conviviaux par une gamme lounge au design adapté. </w:t>
      </w:r>
    </w:p>
    <w:p w14:paraId="3CEF0B88" w14:textId="77777777" w:rsidR="00134392" w:rsidRDefault="00134392" w:rsidP="001B3AE2">
      <w:pPr>
        <w:spacing w:after="0"/>
        <w:rPr>
          <w:rFonts w:ascii="Akkurat Pro" w:hAnsi="Akkurat Pro" w:cs="Arial"/>
          <w:b/>
          <w:bCs/>
        </w:rPr>
      </w:pPr>
    </w:p>
    <w:p w14:paraId="363248B2" w14:textId="4E0E8B53" w:rsidR="001B3AE2" w:rsidRPr="001B3AE2" w:rsidRDefault="001B3AE2" w:rsidP="001B3AE2">
      <w:pPr>
        <w:spacing w:after="0"/>
        <w:rPr>
          <w:rFonts w:ascii="Akkurat Pro" w:hAnsi="Akkurat Pro" w:cs="Arial"/>
          <w:b/>
          <w:bCs/>
        </w:rPr>
      </w:pPr>
      <w:r>
        <w:rPr>
          <w:rFonts w:ascii="Akkurat Pro" w:hAnsi="Akkurat Pro"/>
          <w:b/>
          <w:bCs/>
        </w:rPr>
        <w:t>Confort, diversité et matériaux recyclés</w:t>
      </w:r>
    </w:p>
    <w:p w14:paraId="1AD44E2D" w14:textId="53A4E7E9" w:rsidR="00043534" w:rsidRDefault="00893AED" w:rsidP="00893AED">
      <w:pPr>
        <w:spacing w:after="0"/>
        <w:rPr>
          <w:rFonts w:ascii="Akkurat Pro" w:hAnsi="Akkurat Pro"/>
          <w:bCs/>
        </w:rPr>
      </w:pPr>
      <w:r>
        <w:rPr>
          <w:rFonts w:ascii="Akkurat Pro" w:hAnsi="Akkurat Pro"/>
          <w:bCs/>
        </w:rPr>
        <w:t>La silhouette caractéristique de la gamme se reflète dans les accoudoirs nonchalamment intégrés dans le contour de la coque et dans les détails des différentes variantes de piètement. Les pieds en chêne se présentent avec cette forme semi-ovale et effilée vers le bas si caractéristique, et le piètement à quatre branches en aluminium pour le modèle pivotant rappelle également celui des chaises Yonda. Enfin, le zonage du dossier avec un appuie-tête intégré fait référence au nom de la gamme avec le renfoncement en Y. Le confort d'assise particulièrement agréable est assuré non seulement par les confortables accoudoirs et l'inclinaison du dossier, mais aussi par le coussin d'assise supplémentaire intégré ainsi que la coque d'assise ferme qui soutient le bas du dos, mais aussi élastique au niveau des épaules et de la tête. Le fauteuil est également disponible avec un piètement luge tout en finesse à base d’acier tubulaire, qui forme au niveau du sol une forme distinctive ressemblant à un X étiré au centre. Les surfaces des piètements métalliques sont disponibles en blanc structuré ou en noir, ainsi qu'en chromé brillant (piètement luge) ou en poli brillant (piètement).</w:t>
      </w:r>
    </w:p>
    <w:p w14:paraId="7861C522" w14:textId="43B0A5E8" w:rsidR="00043534" w:rsidRDefault="00043534" w:rsidP="00893AED">
      <w:pPr>
        <w:spacing w:after="0"/>
        <w:rPr>
          <w:rFonts w:ascii="Arial" w:hAnsi="Arial"/>
          <w:noProof/>
          <w:sz w:val="24"/>
          <w:szCs w:val="24"/>
        </w:rPr>
      </w:pPr>
    </w:p>
    <w:p w14:paraId="6AD988D3" w14:textId="77777777" w:rsidR="0069258A" w:rsidRDefault="0069258A" w:rsidP="00893AED">
      <w:pPr>
        <w:spacing w:after="0"/>
        <w:rPr>
          <w:rFonts w:ascii="Akkurat Pro" w:hAnsi="Akkurat Pro"/>
          <w:bCs/>
        </w:rPr>
      </w:pPr>
    </w:p>
    <w:p w14:paraId="37C0CA5F" w14:textId="48F73EB0" w:rsidR="00EE6931" w:rsidRDefault="00EE6931" w:rsidP="001B3AE2">
      <w:pPr>
        <w:spacing w:after="0"/>
        <w:rPr>
          <w:rFonts w:ascii="Akkurat Pro" w:hAnsi="Akkurat Pro" w:cs="Arial"/>
          <w:bCs/>
        </w:rPr>
      </w:pPr>
    </w:p>
    <w:p w14:paraId="374247BB" w14:textId="6146C70D" w:rsidR="001B3AE2" w:rsidRPr="001B3AE2" w:rsidRDefault="001B3AE2" w:rsidP="001B3AE2">
      <w:pPr>
        <w:spacing w:after="0"/>
        <w:rPr>
          <w:rFonts w:ascii="Akkurat Pro" w:hAnsi="Akkurat Pro" w:cs="Arial"/>
          <w:b/>
          <w:bCs/>
        </w:rPr>
      </w:pPr>
      <w:r>
        <w:rPr>
          <w:rFonts w:ascii="Akkurat Pro" w:hAnsi="Akkurat Pro"/>
          <w:b/>
          <w:bCs/>
        </w:rPr>
        <w:lastRenderedPageBreak/>
        <w:t>Poufs rembourrés, Ottomans et tables</w:t>
      </w:r>
    </w:p>
    <w:p w14:paraId="04C6A5AE" w14:textId="77777777" w:rsidR="001B3AE2" w:rsidRPr="001B3AE2" w:rsidRDefault="001B3AE2" w:rsidP="001B3AE2">
      <w:pPr>
        <w:spacing w:after="0"/>
        <w:rPr>
          <w:rFonts w:ascii="Akkurat Pro" w:hAnsi="Akkurat Pro" w:cs="Arial"/>
          <w:bCs/>
        </w:rPr>
      </w:pPr>
      <w:r>
        <w:rPr>
          <w:rFonts w:ascii="Akkurat Pro" w:hAnsi="Akkurat Pro"/>
          <w:bCs/>
        </w:rPr>
        <w:t xml:space="preserve">Les meubles d'appoint disponibles en complément sont harmonieusement assortis au matériau et à la silhouette des fauteuils. </w:t>
      </w:r>
    </w:p>
    <w:p w14:paraId="53CEC865" w14:textId="76C1C8ED" w:rsidR="001B3AE2" w:rsidRPr="001B3AE2" w:rsidRDefault="001B3AE2" w:rsidP="001B3AE2">
      <w:pPr>
        <w:numPr>
          <w:ilvl w:val="0"/>
          <w:numId w:val="1"/>
        </w:numPr>
        <w:spacing w:after="0"/>
        <w:rPr>
          <w:rFonts w:ascii="Akkurat Pro" w:hAnsi="Akkurat Pro" w:cs="Arial"/>
          <w:bCs/>
        </w:rPr>
      </w:pPr>
      <w:r>
        <w:rPr>
          <w:rFonts w:ascii="Akkurat Pro" w:hAnsi="Akkurat Pro"/>
          <w:bCs/>
        </w:rPr>
        <w:t xml:space="preserve">Le </w:t>
      </w:r>
      <w:r>
        <w:rPr>
          <w:rFonts w:ascii="Akkurat Pro" w:hAnsi="Akkurat Pro"/>
          <w:b/>
          <w:bCs/>
        </w:rPr>
        <w:t>pouf rembourré</w:t>
      </w:r>
      <w:r>
        <w:rPr>
          <w:rFonts w:ascii="Akkurat Pro" w:hAnsi="Akkurat Pro"/>
          <w:bCs/>
        </w:rPr>
        <w:t xml:space="preserve"> pivotant est composé d'un corps rembourré se rétrécissant vers le bas et d'une assise arrondie en forme de trapèze. Cette géométrie permet de regrouper et d'agencer les poufs à volonté, ce qui donne toujours une impression de mouvement. </w:t>
      </w:r>
      <w:r w:rsidR="009A40E3">
        <w:rPr>
          <w:rFonts w:ascii="Akkurat Pro" w:hAnsi="Akkurat Pro"/>
          <w:bCs/>
        </w:rPr>
        <w:br/>
      </w:r>
    </w:p>
    <w:p w14:paraId="3EEAAFC5" w14:textId="034621C7" w:rsidR="001B3AE2" w:rsidRPr="001B3AE2" w:rsidRDefault="001B3AE2" w:rsidP="001B3AE2">
      <w:pPr>
        <w:numPr>
          <w:ilvl w:val="0"/>
          <w:numId w:val="1"/>
        </w:numPr>
        <w:spacing w:after="0"/>
        <w:rPr>
          <w:rFonts w:ascii="Akkurat Pro" w:hAnsi="Akkurat Pro" w:cs="Arial"/>
          <w:bCs/>
        </w:rPr>
      </w:pPr>
      <w:r>
        <w:rPr>
          <w:rFonts w:ascii="Akkurat Pro" w:hAnsi="Akkurat Pro"/>
          <w:bCs/>
        </w:rPr>
        <w:t>Le piètement de l'</w:t>
      </w:r>
      <w:r>
        <w:rPr>
          <w:rFonts w:ascii="Akkurat Pro" w:hAnsi="Akkurat Pro"/>
          <w:b/>
          <w:bCs/>
        </w:rPr>
        <w:t>Ottoman</w:t>
      </w:r>
      <w:r>
        <w:rPr>
          <w:rFonts w:ascii="Akkurat Pro" w:hAnsi="Akkurat Pro"/>
          <w:bCs/>
        </w:rPr>
        <w:t xml:space="preserve"> rappelle le piètement à luge caractéristique du </w:t>
      </w:r>
      <w:proofErr w:type="spellStart"/>
      <w:r>
        <w:rPr>
          <w:rFonts w:ascii="Akkurat Pro" w:hAnsi="Akkurat Pro"/>
          <w:bCs/>
        </w:rPr>
        <w:t>Lounger</w:t>
      </w:r>
      <w:proofErr w:type="spellEnd"/>
      <w:r>
        <w:rPr>
          <w:rFonts w:ascii="Akkurat Pro" w:hAnsi="Akkurat Pro"/>
          <w:bCs/>
        </w:rPr>
        <w:t xml:space="preserve"> et est disponible dans les mêmes finitions. Le corps rembourré semble reposer sur la structure filigrane du piètement luge, tel une cuvette semi-circulaire. Outre sa fonction de repose-pieds combiné au modèle de fauteuil assorti, il constitue une alternative au pouf facile à saisir.</w:t>
      </w:r>
      <w:r w:rsidR="009A40E3">
        <w:rPr>
          <w:rFonts w:ascii="Akkurat Pro" w:hAnsi="Akkurat Pro"/>
          <w:bCs/>
        </w:rPr>
        <w:br/>
      </w:r>
    </w:p>
    <w:p w14:paraId="4C65F3AE" w14:textId="3791BF1D" w:rsidR="001B3AE2" w:rsidRDefault="001B3AE2" w:rsidP="001B3AE2">
      <w:pPr>
        <w:numPr>
          <w:ilvl w:val="0"/>
          <w:numId w:val="1"/>
        </w:numPr>
        <w:spacing w:after="0"/>
        <w:rPr>
          <w:rFonts w:ascii="Akkurat Pro" w:hAnsi="Akkurat Pro" w:cs="Arial"/>
          <w:bCs/>
        </w:rPr>
      </w:pPr>
      <w:r>
        <w:rPr>
          <w:rFonts w:ascii="Akkurat Pro" w:hAnsi="Akkurat Pro"/>
          <w:bCs/>
        </w:rPr>
        <w:t xml:space="preserve">Enfin, </w:t>
      </w:r>
      <w:r>
        <w:rPr>
          <w:rFonts w:ascii="Akkurat Pro" w:hAnsi="Akkurat Pro"/>
          <w:b/>
          <w:bCs/>
        </w:rPr>
        <w:t>deux modèles de tables basses</w:t>
      </w:r>
      <w:r>
        <w:rPr>
          <w:rFonts w:ascii="Akkurat Pro" w:hAnsi="Akkurat Pro"/>
          <w:bCs/>
        </w:rPr>
        <w:t xml:space="preserve"> complètent la gamme Lounge. Les géométries des plateaux des tables, qui peuvent être regroupées librement, rappellent la forme des galets. Grâce aux différentes hauteurs (52 cm et 42 cm), elles peuvent être agencées de manière à se chevaucher. Le piètement luge, ici à trois pieds, est assemblé au centre pour former un triangle distinctif. Les plateaux de table sont revêtus de stratifiés robustes ou de placages en bois véritable, et sont également disponibles au choix en HPL blanc ou noir teinté dans la masse. </w:t>
      </w:r>
    </w:p>
    <w:p w14:paraId="4FC0B840" w14:textId="39C5ADEA" w:rsidR="00EE6931" w:rsidRDefault="00EE6931" w:rsidP="00EE6931">
      <w:pPr>
        <w:spacing w:after="0"/>
        <w:ind w:left="360"/>
        <w:rPr>
          <w:rFonts w:ascii="Akkurat Pro" w:hAnsi="Akkurat Pro" w:cs="Arial"/>
          <w:bCs/>
        </w:rPr>
      </w:pPr>
    </w:p>
    <w:p w14:paraId="7E422F40" w14:textId="2F82DA6E" w:rsidR="001B3AE2" w:rsidRDefault="001B3AE2" w:rsidP="001B3AE2">
      <w:pPr>
        <w:spacing w:after="0"/>
        <w:rPr>
          <w:rFonts w:ascii="Akkurat Pro" w:hAnsi="Akkurat Pro" w:cs="Arial"/>
          <w:bCs/>
        </w:rPr>
      </w:pPr>
      <w:r>
        <w:rPr>
          <w:rFonts w:ascii="Akkurat Pro" w:hAnsi="Akkurat Pro"/>
          <w:bCs/>
        </w:rPr>
        <w:t xml:space="preserve">La gamme Lounge a elle aussi été pensée en mettant l’accent sur la longévité avec des matériaux renouvelables, recyclés et recyclables. Ainsi, la coque du fauteuil est composée à 100°% de plastique ABS déjà recyclé. Le matériau des pieds en chêne huilé et des matériaux dérivés du bois des corps rembourrés, certifiés FSC, est renouvelable et recyclable. Le piètement en aluminium est composé à 100°% de matériaux recyclés qui peuvent être réinjectés dans le circuit des matériaux, ce dernier point s'appliquant également aux piètements luge des fauteuils, des Ottomans et des tables. En plus de la vaste collection de tissus et de cuirs Wilkhahn, les revêtements interchangeables sont disponibles en </w:t>
      </w:r>
      <w:proofErr w:type="spellStart"/>
      <w:r>
        <w:rPr>
          <w:rFonts w:ascii="Akkurat Pro" w:hAnsi="Akkurat Pro"/>
          <w:bCs/>
        </w:rPr>
        <w:t>Morph</w:t>
      </w:r>
      <w:proofErr w:type="spellEnd"/>
      <w:r>
        <w:rPr>
          <w:rFonts w:ascii="Akkurat Pro" w:hAnsi="Akkurat Pro"/>
          <w:bCs/>
        </w:rPr>
        <w:t>, un tissu en laine robuste, en Re-</w:t>
      </w:r>
      <w:proofErr w:type="spellStart"/>
      <w:r>
        <w:rPr>
          <w:rFonts w:ascii="Akkurat Pro" w:hAnsi="Akkurat Pro"/>
          <w:bCs/>
        </w:rPr>
        <w:t>wool</w:t>
      </w:r>
      <w:proofErr w:type="spellEnd"/>
      <w:r>
        <w:rPr>
          <w:rFonts w:ascii="Akkurat Pro" w:hAnsi="Akkurat Pro"/>
          <w:bCs/>
        </w:rPr>
        <w:t xml:space="preserve">, un tissu en laine aux couleurs changeantes certifié </w:t>
      </w:r>
      <w:proofErr w:type="spellStart"/>
      <w:r>
        <w:rPr>
          <w:rFonts w:ascii="Akkurat Pro" w:hAnsi="Akkurat Pro"/>
          <w:bCs/>
        </w:rPr>
        <w:t>Greenguard</w:t>
      </w:r>
      <w:proofErr w:type="spellEnd"/>
      <w:r>
        <w:rPr>
          <w:rFonts w:ascii="Akkurat Pro" w:hAnsi="Akkurat Pro"/>
          <w:bCs/>
        </w:rPr>
        <w:t xml:space="preserve"> Gold, avec un pourcentage élevé de matières recyclées, et en </w:t>
      </w:r>
      <w:proofErr w:type="spellStart"/>
      <w:r>
        <w:rPr>
          <w:rFonts w:ascii="Akkurat Pro" w:hAnsi="Akkurat Pro"/>
          <w:bCs/>
        </w:rPr>
        <w:t>Oceanic</w:t>
      </w:r>
      <w:proofErr w:type="spellEnd"/>
      <w:r>
        <w:rPr>
          <w:rFonts w:ascii="Akkurat Pro" w:hAnsi="Akkurat Pro"/>
          <w:bCs/>
        </w:rPr>
        <w:t xml:space="preserve">, un revêtement synthétique extrêmement résistant, composé à 100°% de matières plastiques recyclées post-consommation. </w:t>
      </w:r>
    </w:p>
    <w:p w14:paraId="4A02863A" w14:textId="77777777" w:rsidR="00EE6931" w:rsidRPr="001B3AE2" w:rsidRDefault="00EE6931" w:rsidP="001B3AE2">
      <w:pPr>
        <w:spacing w:after="0"/>
        <w:rPr>
          <w:rFonts w:ascii="Akkurat Pro" w:hAnsi="Akkurat Pro" w:cs="Arial"/>
          <w:bCs/>
        </w:rPr>
      </w:pPr>
    </w:p>
    <w:p w14:paraId="4C1BB0AC" w14:textId="3AEDD269" w:rsidR="001B3AE2" w:rsidRDefault="001B3AE2" w:rsidP="001B3AE2">
      <w:pPr>
        <w:spacing w:after="0"/>
        <w:rPr>
          <w:rFonts w:ascii="Akkurat Pro" w:hAnsi="Akkurat Pro" w:cs="Arial"/>
          <w:bCs/>
        </w:rPr>
      </w:pPr>
      <w:r>
        <w:rPr>
          <w:rFonts w:ascii="Akkurat Pro" w:hAnsi="Akkurat Pro"/>
          <w:bCs/>
        </w:rPr>
        <w:t>La gamme complète Yonda Lounge pourra être commandée à partir d'octobre et sera disponible dans les délais de livraison habituels.</w:t>
      </w:r>
    </w:p>
    <w:p w14:paraId="271C4828" w14:textId="6A534E16" w:rsidR="00CE3A5B" w:rsidRDefault="00CE3A5B" w:rsidP="001B3AE2">
      <w:pPr>
        <w:spacing w:after="0"/>
      </w:pPr>
    </w:p>
    <w:p w14:paraId="18E78FC4" w14:textId="068309A7" w:rsidR="00043534" w:rsidRDefault="00043534" w:rsidP="001B3AE2">
      <w:pPr>
        <w:spacing w:after="0"/>
      </w:pPr>
    </w:p>
    <w:p w14:paraId="6C160F07" w14:textId="77777777" w:rsidR="00043534" w:rsidRDefault="00043534" w:rsidP="001B3AE2">
      <w:pPr>
        <w:spacing w:after="0"/>
        <w:rPr>
          <w:rFonts w:ascii="Akkurat Pro" w:hAnsi="Akkurat Pro" w:cs="Arial"/>
          <w:b/>
          <w:bCs/>
        </w:rPr>
      </w:pPr>
    </w:p>
    <w:p w14:paraId="6E645282" w14:textId="77777777" w:rsidR="00272706" w:rsidRDefault="00272706" w:rsidP="001B3AE2">
      <w:pPr>
        <w:spacing w:after="0"/>
        <w:rPr>
          <w:rFonts w:ascii="Akkurat Pro" w:hAnsi="Akkurat Pro" w:cs="Arial"/>
          <w:b/>
          <w:bCs/>
        </w:rPr>
      </w:pPr>
    </w:p>
    <w:p w14:paraId="0F1B5115" w14:textId="77777777" w:rsidR="00272706" w:rsidRDefault="00272706" w:rsidP="001B3AE2">
      <w:pPr>
        <w:spacing w:after="0"/>
        <w:rPr>
          <w:rFonts w:ascii="Akkurat Pro" w:hAnsi="Akkurat Pro" w:cs="Arial"/>
          <w:b/>
          <w:bCs/>
        </w:rPr>
      </w:pPr>
    </w:p>
    <w:p w14:paraId="13C0E28F" w14:textId="636D7844" w:rsidR="001B3AE2" w:rsidRDefault="001B3AE2" w:rsidP="001B3AE2">
      <w:pPr>
        <w:spacing w:after="0"/>
        <w:rPr>
          <w:rFonts w:ascii="Akkurat Pro" w:hAnsi="Akkurat Pro" w:cs="Arial"/>
          <w:b/>
          <w:bCs/>
        </w:rPr>
      </w:pPr>
    </w:p>
    <w:p w14:paraId="79ABC78E" w14:textId="576F96F9" w:rsidR="00EE6931" w:rsidRDefault="00EE6931" w:rsidP="001B3AE2">
      <w:pPr>
        <w:spacing w:after="0"/>
        <w:rPr>
          <w:rFonts w:ascii="Akkurat Pro" w:hAnsi="Akkurat Pro" w:cs="Arial"/>
          <w:b/>
          <w:bCs/>
        </w:rPr>
      </w:pPr>
    </w:p>
    <w:p w14:paraId="75EE4B54" w14:textId="77777777" w:rsidR="007A6EF8" w:rsidRDefault="007A6EF8" w:rsidP="001B3AE2">
      <w:pPr>
        <w:spacing w:after="0"/>
        <w:rPr>
          <w:rFonts w:ascii="Akkurat Pro" w:hAnsi="Akkurat Pro" w:cs="Arial"/>
          <w:b/>
          <w:bCs/>
        </w:rPr>
      </w:pPr>
    </w:p>
    <w:p w14:paraId="1047042B" w14:textId="77777777" w:rsidR="001B3AE2" w:rsidRDefault="001B3AE2" w:rsidP="001B3AE2">
      <w:pPr>
        <w:spacing w:after="0"/>
        <w:rPr>
          <w:rFonts w:ascii="Akkurat Pro" w:hAnsi="Akkurat Pro" w:cs="Arial"/>
          <w:b/>
          <w:bCs/>
        </w:rPr>
      </w:pPr>
    </w:p>
    <w:p w14:paraId="78FCE4F7" w14:textId="77777777" w:rsidR="0069258A" w:rsidRDefault="0069258A" w:rsidP="0097027F">
      <w:pPr>
        <w:spacing w:after="0" w:line="240" w:lineRule="auto"/>
        <w:rPr>
          <w:rFonts w:ascii="Akkurat Pro" w:hAnsi="Akkurat Pro"/>
          <w:b/>
          <w:bCs/>
        </w:rPr>
      </w:pPr>
    </w:p>
    <w:p w14:paraId="30CCA180" w14:textId="77777777" w:rsidR="0069258A" w:rsidRDefault="0069258A" w:rsidP="0097027F">
      <w:pPr>
        <w:spacing w:after="0" w:line="240" w:lineRule="auto"/>
        <w:rPr>
          <w:rFonts w:ascii="Akkurat Pro" w:hAnsi="Akkurat Pro"/>
          <w:b/>
          <w:bCs/>
        </w:rPr>
      </w:pPr>
    </w:p>
    <w:p w14:paraId="16DEDF89" w14:textId="2D4E52D6" w:rsidR="0097027F" w:rsidRPr="00041DD7" w:rsidRDefault="0097027F" w:rsidP="0097027F">
      <w:pPr>
        <w:spacing w:after="0" w:line="240" w:lineRule="auto"/>
        <w:rPr>
          <w:rFonts w:ascii="Akkurat Pro" w:hAnsi="Akkurat Pro" w:cs="Arial"/>
          <w:b/>
          <w:bCs/>
        </w:rPr>
      </w:pPr>
      <w:r>
        <w:rPr>
          <w:rFonts w:ascii="Akkurat Pro" w:hAnsi="Akkurat Pro"/>
          <w:b/>
          <w:bCs/>
        </w:rPr>
        <w:t>Contact presse :</w:t>
      </w:r>
    </w:p>
    <w:p w14:paraId="7F323D58" w14:textId="77777777" w:rsidR="0097027F" w:rsidRPr="00041DD7" w:rsidRDefault="0097027F" w:rsidP="0097027F">
      <w:pPr>
        <w:spacing w:after="0" w:line="240" w:lineRule="auto"/>
        <w:rPr>
          <w:rFonts w:ascii="Akkurat Pro" w:hAnsi="Akkurat Pro" w:cs="Arial"/>
        </w:rPr>
      </w:pPr>
    </w:p>
    <w:p w14:paraId="443BC543" w14:textId="5862E2E5" w:rsidR="00446D04" w:rsidRPr="000A05FA" w:rsidRDefault="0097027F" w:rsidP="000A05FA">
      <w:pPr>
        <w:spacing w:after="0" w:line="240" w:lineRule="auto"/>
        <w:rPr>
          <w:rFonts w:ascii="Akkurat Pro" w:hAnsi="Akkurat Pro" w:cs="Arial"/>
        </w:rPr>
      </w:pPr>
      <w:proofErr w:type="spellStart"/>
      <w:r>
        <w:rPr>
          <w:rFonts w:ascii="Akkurat Pro" w:hAnsi="Akkurat Pro"/>
        </w:rPr>
        <w:t>Wilkhahn</w:t>
      </w:r>
      <w:proofErr w:type="spellEnd"/>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tab/>
        <w:t xml:space="preserve">mai public relations </w:t>
      </w:r>
      <w:proofErr w:type="spellStart"/>
      <w:r>
        <w:rPr>
          <w:rFonts w:ascii="Akkurat Pro" w:hAnsi="Akkurat Pro"/>
        </w:rPr>
        <w:t>GmbH</w:t>
      </w:r>
      <w:proofErr w:type="spellEnd"/>
      <w:r>
        <w:rPr>
          <w:rFonts w:ascii="Akkurat Pro" w:hAnsi="Akkurat Pro"/>
        </w:rPr>
        <w:br/>
      </w:r>
      <w:proofErr w:type="spellStart"/>
      <w:r>
        <w:rPr>
          <w:rFonts w:ascii="Akkurat Pro" w:hAnsi="Akkurat Pro"/>
        </w:rPr>
        <w:t>Wilkening</w:t>
      </w:r>
      <w:proofErr w:type="spellEnd"/>
      <w:r>
        <w:rPr>
          <w:rFonts w:ascii="Akkurat Pro" w:hAnsi="Akkurat Pro"/>
        </w:rPr>
        <w:t xml:space="preserve"> + </w:t>
      </w:r>
      <w:proofErr w:type="spellStart"/>
      <w:r>
        <w:rPr>
          <w:rFonts w:ascii="Akkurat Pro" w:hAnsi="Akkurat Pro"/>
        </w:rPr>
        <w:t>Hahne</w:t>
      </w:r>
      <w:proofErr w:type="spellEnd"/>
      <w:r>
        <w:rPr>
          <w:rFonts w:ascii="Akkurat Pro" w:hAnsi="Akkurat Pro"/>
        </w:rPr>
        <w:t xml:space="preserve"> GmbH+Co.KG</w:t>
      </w:r>
      <w:r>
        <w:rPr>
          <w:rFonts w:ascii="Akkurat Pro" w:hAnsi="Akkurat Pro"/>
        </w:rPr>
        <w:tab/>
      </w:r>
      <w:r>
        <w:rPr>
          <w:rFonts w:ascii="Akkurat Pro" w:hAnsi="Akkurat Pro"/>
        </w:rPr>
        <w:tab/>
      </w:r>
      <w:r>
        <w:rPr>
          <w:rFonts w:ascii="Akkurat Pro" w:hAnsi="Akkurat Pro"/>
        </w:rPr>
        <w:tab/>
      </w:r>
      <w:r>
        <w:rPr>
          <w:rFonts w:ascii="Akkurat Pro" w:hAnsi="Akkurat Pro"/>
        </w:rPr>
        <w:tab/>
        <w:t xml:space="preserve">Arno </w:t>
      </w:r>
      <w:proofErr w:type="spellStart"/>
      <w:r>
        <w:rPr>
          <w:rFonts w:ascii="Akkurat Pro" w:hAnsi="Akkurat Pro"/>
        </w:rPr>
        <w:t>Heitland</w:t>
      </w:r>
      <w:proofErr w:type="spellEnd"/>
      <w:r>
        <w:rPr>
          <w:rFonts w:ascii="Akkurat Pro" w:hAnsi="Akkurat Pro"/>
        </w:rPr>
        <w:br/>
        <w:t xml:space="preserve">Internationale </w:t>
      </w:r>
      <w:proofErr w:type="spellStart"/>
      <w:r>
        <w:rPr>
          <w:rFonts w:ascii="Akkurat Pro" w:hAnsi="Akkurat Pro"/>
        </w:rPr>
        <w:t>Kommunikation</w:t>
      </w:r>
      <w:proofErr w:type="spellEnd"/>
      <w:r>
        <w:rPr>
          <w:rFonts w:ascii="Akkurat Pro" w:hAnsi="Akkurat Pro"/>
        </w:rPr>
        <w:tab/>
      </w:r>
      <w:r>
        <w:rPr>
          <w:rFonts w:ascii="Akkurat Pro" w:hAnsi="Akkurat Pro"/>
        </w:rPr>
        <w:tab/>
      </w:r>
      <w:r>
        <w:rPr>
          <w:rFonts w:ascii="Akkurat Pro" w:hAnsi="Akkurat Pro"/>
        </w:rPr>
        <w:tab/>
      </w:r>
      <w:r>
        <w:rPr>
          <w:rFonts w:ascii="Akkurat Pro" w:hAnsi="Akkurat Pro"/>
        </w:rPr>
        <w:tab/>
      </w:r>
      <w:proofErr w:type="spellStart"/>
      <w:r>
        <w:rPr>
          <w:rFonts w:ascii="Akkurat Pro" w:hAnsi="Akkurat Pro"/>
        </w:rPr>
        <w:t>Leuschnerdamm</w:t>
      </w:r>
      <w:proofErr w:type="spellEnd"/>
      <w:r>
        <w:rPr>
          <w:rFonts w:ascii="Akkurat Pro" w:hAnsi="Akkurat Pro"/>
        </w:rPr>
        <w:t xml:space="preserve"> 13</w:t>
      </w:r>
      <w:r>
        <w:rPr>
          <w:rFonts w:ascii="Akkurat Pro" w:hAnsi="Akkurat Pro"/>
        </w:rPr>
        <w:br/>
        <w:t>Fritz-</w:t>
      </w:r>
      <w:proofErr w:type="spellStart"/>
      <w:r>
        <w:rPr>
          <w:rFonts w:ascii="Akkurat Pro" w:hAnsi="Akkurat Pro"/>
        </w:rPr>
        <w:t>Hahne</w:t>
      </w:r>
      <w:proofErr w:type="spellEnd"/>
      <w:r>
        <w:rPr>
          <w:rFonts w:ascii="Akkurat Pro" w:hAnsi="Akkurat Pro"/>
        </w:rPr>
        <w:t>-</w:t>
      </w:r>
      <w:proofErr w:type="spellStart"/>
      <w:r>
        <w:rPr>
          <w:rFonts w:ascii="Akkurat Pro" w:hAnsi="Akkurat Pro"/>
        </w:rPr>
        <w:t>Straße</w:t>
      </w:r>
      <w:proofErr w:type="spellEnd"/>
      <w:r>
        <w:rPr>
          <w:rFonts w:ascii="Akkurat Pro" w:hAnsi="Akkurat Pro"/>
        </w:rPr>
        <w:t xml:space="preserve"> 8</w:t>
      </w:r>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tab/>
        <w:t>10999 Berlin</w:t>
      </w:r>
      <w:r>
        <w:rPr>
          <w:rFonts w:ascii="Akkurat Pro" w:hAnsi="Akkurat Pro"/>
        </w:rPr>
        <w:br/>
        <w:t xml:space="preserve">31848 Bad </w:t>
      </w:r>
      <w:proofErr w:type="spellStart"/>
      <w:r>
        <w:rPr>
          <w:rFonts w:ascii="Akkurat Pro" w:hAnsi="Akkurat Pro"/>
        </w:rPr>
        <w:t>Münder</w:t>
      </w:r>
      <w:proofErr w:type="spellEnd"/>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tab/>
        <w:t>Tél.</w:t>
      </w:r>
      <w:r>
        <w:rPr>
          <w:rFonts w:ascii="Akkurat Pro" w:hAnsi="Akkurat Pro"/>
        </w:rPr>
        <w:tab/>
        <w:t>+49 (0) 30 66 40 40 553</w:t>
      </w:r>
      <w:r>
        <w:rPr>
          <w:rFonts w:ascii="Akkurat Pro" w:hAnsi="Akkurat Pro"/>
        </w:rPr>
        <w:br/>
        <w:t>Tél.</w:t>
      </w:r>
      <w:r>
        <w:rPr>
          <w:rFonts w:ascii="Akkurat Pro" w:hAnsi="Akkurat Pro"/>
        </w:rPr>
        <w:tab/>
        <w:t>+49 (0) 5042 999 169</w:t>
      </w:r>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tab/>
      </w:r>
      <w:hyperlink r:id="rId8" w:history="1">
        <w:r>
          <w:rPr>
            <w:rStyle w:val="Hyperlink"/>
            <w:rFonts w:ascii="Akkurat Pro" w:hAnsi="Akkurat Pro"/>
          </w:rPr>
          <w:t>wilkhahn@maipr.com</w:t>
        </w:r>
      </w:hyperlink>
      <w:r>
        <w:rPr>
          <w:rFonts w:ascii="Akkurat Pro" w:hAnsi="Akkurat Pro"/>
        </w:rPr>
        <w:br/>
        <w:t>Tél. portable</w:t>
      </w:r>
      <w:r>
        <w:rPr>
          <w:rFonts w:ascii="Akkurat Pro" w:hAnsi="Akkurat Pro"/>
        </w:rPr>
        <w:tab/>
        <w:t>+49 (0) 172 544 9975</w:t>
      </w:r>
      <w:r>
        <w:rPr>
          <w:rFonts w:ascii="Akkurat Pro" w:hAnsi="Akkurat Pro"/>
        </w:rPr>
        <w:tab/>
      </w:r>
      <w:r>
        <w:rPr>
          <w:rFonts w:ascii="Akkurat Pro" w:hAnsi="Akkurat Pro"/>
        </w:rPr>
        <w:tab/>
      </w:r>
      <w:r>
        <w:rPr>
          <w:rFonts w:ascii="Akkurat Pro" w:hAnsi="Akkurat Pro"/>
        </w:rPr>
        <w:tab/>
      </w:r>
      <w:r>
        <w:rPr>
          <w:rFonts w:ascii="Akkurat Pro" w:hAnsi="Akkurat Pro"/>
        </w:rPr>
        <w:tab/>
      </w:r>
      <w:r>
        <w:rPr>
          <w:rFonts w:ascii="Akkurat Pro" w:hAnsi="Akkurat Pro"/>
        </w:rPr>
        <w:br/>
      </w:r>
      <w:hyperlink r:id="rId9" w:history="1">
        <w:r>
          <w:rPr>
            <w:rStyle w:val="Hyperlink"/>
            <w:rFonts w:ascii="Akkurat Pro" w:hAnsi="Akkurat Pro"/>
          </w:rPr>
          <w:t>press-service@wilkhahn.de</w:t>
        </w:r>
      </w:hyperlink>
      <w:r>
        <w:rPr>
          <w:rFonts w:ascii="Akkurat Pro" w:hAnsi="Akkurat Pro"/>
        </w:rPr>
        <w:t xml:space="preserve"> </w:t>
      </w:r>
    </w:p>
    <w:sectPr w:rsidR="00446D04" w:rsidRPr="000A05FA" w:rsidSect="00167D0A">
      <w:headerReference w:type="default" r:id="rId10"/>
      <w:type w:val="continuous"/>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C014D" w14:textId="77777777" w:rsidR="008A13DC" w:rsidRDefault="008A13DC" w:rsidP="000B15B8">
      <w:pPr>
        <w:spacing w:after="0" w:line="240" w:lineRule="auto"/>
      </w:pPr>
      <w:r>
        <w:separator/>
      </w:r>
    </w:p>
  </w:endnote>
  <w:endnote w:type="continuationSeparator" w:id="0">
    <w:p w14:paraId="71681E8B" w14:textId="77777777" w:rsidR="008A13DC" w:rsidRDefault="008A13DC" w:rsidP="000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B0504020101020102"/>
    <w:charset w:val="4D"/>
    <w:family w:val="swiss"/>
    <w:notTrueType/>
    <w:pitch w:val="variable"/>
    <w:sig w:usb0="A00000AF" w:usb1="4000316A"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B94F7" w14:textId="77777777" w:rsidR="008A13DC" w:rsidRDefault="008A13DC" w:rsidP="000B15B8">
      <w:pPr>
        <w:spacing w:after="0" w:line="240" w:lineRule="auto"/>
      </w:pPr>
      <w:r>
        <w:separator/>
      </w:r>
    </w:p>
  </w:footnote>
  <w:footnote w:type="continuationSeparator" w:id="0">
    <w:p w14:paraId="7C5D39FF" w14:textId="77777777" w:rsidR="008A13DC" w:rsidRDefault="008A13DC" w:rsidP="000B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2E64" w14:textId="77777777" w:rsidR="000B15B8" w:rsidRDefault="000B15B8" w:rsidP="000B15B8">
    <w:pPr>
      <w:pStyle w:val="Kopfzeile"/>
      <w:jc w:val="right"/>
    </w:pPr>
    <w:r>
      <w:tab/>
    </w:r>
    <w:r>
      <w:rPr>
        <w:noProof/>
      </w:rPr>
      <w:drawing>
        <wp:inline distT="0" distB="0" distL="0" distR="0" wp14:anchorId="748B77F7" wp14:editId="258630C6">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1618A"/>
    <w:multiLevelType w:val="hybridMultilevel"/>
    <w:tmpl w:val="52C006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02450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0113"/>
    <w:rsid w:val="00011105"/>
    <w:rsid w:val="00011830"/>
    <w:rsid w:val="00024927"/>
    <w:rsid w:val="00025389"/>
    <w:rsid w:val="00025416"/>
    <w:rsid w:val="00030D50"/>
    <w:rsid w:val="00041DD7"/>
    <w:rsid w:val="000433D4"/>
    <w:rsid w:val="00043534"/>
    <w:rsid w:val="000466BD"/>
    <w:rsid w:val="000474D0"/>
    <w:rsid w:val="00052EB5"/>
    <w:rsid w:val="00062082"/>
    <w:rsid w:val="00064145"/>
    <w:rsid w:val="00064418"/>
    <w:rsid w:val="000741F5"/>
    <w:rsid w:val="00086144"/>
    <w:rsid w:val="00095F89"/>
    <w:rsid w:val="000A05FA"/>
    <w:rsid w:val="000A11E9"/>
    <w:rsid w:val="000A2B39"/>
    <w:rsid w:val="000A2BFD"/>
    <w:rsid w:val="000B149B"/>
    <w:rsid w:val="000B15B8"/>
    <w:rsid w:val="000B3B0E"/>
    <w:rsid w:val="000C4F29"/>
    <w:rsid w:val="000C52D2"/>
    <w:rsid w:val="000D0568"/>
    <w:rsid w:val="000D08F6"/>
    <w:rsid w:val="000D33AA"/>
    <w:rsid w:val="000D3AC7"/>
    <w:rsid w:val="000E13BD"/>
    <w:rsid w:val="000E16B3"/>
    <w:rsid w:val="000F0052"/>
    <w:rsid w:val="000F3256"/>
    <w:rsid w:val="0010278A"/>
    <w:rsid w:val="00113D16"/>
    <w:rsid w:val="00114006"/>
    <w:rsid w:val="0011597B"/>
    <w:rsid w:val="001160FF"/>
    <w:rsid w:val="00121D82"/>
    <w:rsid w:val="00122EE6"/>
    <w:rsid w:val="00134392"/>
    <w:rsid w:val="00135137"/>
    <w:rsid w:val="00142B13"/>
    <w:rsid w:val="00152343"/>
    <w:rsid w:val="001623EA"/>
    <w:rsid w:val="001668D9"/>
    <w:rsid w:val="00167201"/>
    <w:rsid w:val="00167D0A"/>
    <w:rsid w:val="00170711"/>
    <w:rsid w:val="001809D9"/>
    <w:rsid w:val="00180C9B"/>
    <w:rsid w:val="00181449"/>
    <w:rsid w:val="00191692"/>
    <w:rsid w:val="00196124"/>
    <w:rsid w:val="001A005E"/>
    <w:rsid w:val="001A0DEC"/>
    <w:rsid w:val="001A3E4D"/>
    <w:rsid w:val="001A6B8C"/>
    <w:rsid w:val="001A752D"/>
    <w:rsid w:val="001B3AE2"/>
    <w:rsid w:val="001B6CCE"/>
    <w:rsid w:val="001C2F61"/>
    <w:rsid w:val="001C3AF2"/>
    <w:rsid w:val="001C3E80"/>
    <w:rsid w:val="001C3FAE"/>
    <w:rsid w:val="001C70B8"/>
    <w:rsid w:val="001D63AD"/>
    <w:rsid w:val="001D70C3"/>
    <w:rsid w:val="001E1E4D"/>
    <w:rsid w:val="001E41BF"/>
    <w:rsid w:val="001F03E4"/>
    <w:rsid w:val="001F08B2"/>
    <w:rsid w:val="002002D0"/>
    <w:rsid w:val="00203B4A"/>
    <w:rsid w:val="002107F5"/>
    <w:rsid w:val="00210D29"/>
    <w:rsid w:val="002142A6"/>
    <w:rsid w:val="00214406"/>
    <w:rsid w:val="002161C2"/>
    <w:rsid w:val="00217FA8"/>
    <w:rsid w:val="002210BC"/>
    <w:rsid w:val="002210FC"/>
    <w:rsid w:val="00227036"/>
    <w:rsid w:val="00227DAF"/>
    <w:rsid w:val="00232554"/>
    <w:rsid w:val="00246DFE"/>
    <w:rsid w:val="00252B13"/>
    <w:rsid w:val="00255A2F"/>
    <w:rsid w:val="00256178"/>
    <w:rsid w:val="00257EC9"/>
    <w:rsid w:val="002615F0"/>
    <w:rsid w:val="0026775A"/>
    <w:rsid w:val="00271081"/>
    <w:rsid w:val="00272706"/>
    <w:rsid w:val="00274FAE"/>
    <w:rsid w:val="00276CF6"/>
    <w:rsid w:val="002817F6"/>
    <w:rsid w:val="00285AF8"/>
    <w:rsid w:val="00286A75"/>
    <w:rsid w:val="00287EC2"/>
    <w:rsid w:val="00295679"/>
    <w:rsid w:val="00295AA1"/>
    <w:rsid w:val="00297A09"/>
    <w:rsid w:val="002A6A6C"/>
    <w:rsid w:val="002B3DD7"/>
    <w:rsid w:val="002B4A42"/>
    <w:rsid w:val="002C31AF"/>
    <w:rsid w:val="002C346F"/>
    <w:rsid w:val="002C64F1"/>
    <w:rsid w:val="002D483A"/>
    <w:rsid w:val="002D6A77"/>
    <w:rsid w:val="002E30CD"/>
    <w:rsid w:val="002E3DCB"/>
    <w:rsid w:val="002F0F33"/>
    <w:rsid w:val="002F6A7C"/>
    <w:rsid w:val="00301E3B"/>
    <w:rsid w:val="0030630E"/>
    <w:rsid w:val="00312254"/>
    <w:rsid w:val="00323E92"/>
    <w:rsid w:val="00333780"/>
    <w:rsid w:val="00337C91"/>
    <w:rsid w:val="00340513"/>
    <w:rsid w:val="003419DB"/>
    <w:rsid w:val="0034244B"/>
    <w:rsid w:val="00350FBA"/>
    <w:rsid w:val="00353102"/>
    <w:rsid w:val="0035705C"/>
    <w:rsid w:val="00360A1D"/>
    <w:rsid w:val="00362A32"/>
    <w:rsid w:val="00363F7C"/>
    <w:rsid w:val="003702FD"/>
    <w:rsid w:val="003766A1"/>
    <w:rsid w:val="0037728C"/>
    <w:rsid w:val="003847FB"/>
    <w:rsid w:val="00392A3C"/>
    <w:rsid w:val="003968D8"/>
    <w:rsid w:val="003A608B"/>
    <w:rsid w:val="003A783D"/>
    <w:rsid w:val="003B71DE"/>
    <w:rsid w:val="003C0B09"/>
    <w:rsid w:val="003C29B6"/>
    <w:rsid w:val="003C66A1"/>
    <w:rsid w:val="003D10F5"/>
    <w:rsid w:val="003D296D"/>
    <w:rsid w:val="003D303E"/>
    <w:rsid w:val="003E1595"/>
    <w:rsid w:val="003E6C80"/>
    <w:rsid w:val="003E772A"/>
    <w:rsid w:val="003F395F"/>
    <w:rsid w:val="003F50A8"/>
    <w:rsid w:val="003F7509"/>
    <w:rsid w:val="00400924"/>
    <w:rsid w:val="00400EE1"/>
    <w:rsid w:val="004023D5"/>
    <w:rsid w:val="0040450B"/>
    <w:rsid w:val="00411C09"/>
    <w:rsid w:val="00415ED7"/>
    <w:rsid w:val="0042254A"/>
    <w:rsid w:val="004346A4"/>
    <w:rsid w:val="00441C89"/>
    <w:rsid w:val="00446D04"/>
    <w:rsid w:val="004475FA"/>
    <w:rsid w:val="004533C3"/>
    <w:rsid w:val="004550A6"/>
    <w:rsid w:val="00465BE9"/>
    <w:rsid w:val="00481DC8"/>
    <w:rsid w:val="004837D8"/>
    <w:rsid w:val="0048508D"/>
    <w:rsid w:val="00492BFA"/>
    <w:rsid w:val="004949D5"/>
    <w:rsid w:val="004A0DD6"/>
    <w:rsid w:val="004A1729"/>
    <w:rsid w:val="004C49B7"/>
    <w:rsid w:val="004D0283"/>
    <w:rsid w:val="004D36DD"/>
    <w:rsid w:val="004D4491"/>
    <w:rsid w:val="004D60C4"/>
    <w:rsid w:val="004E2A9B"/>
    <w:rsid w:val="004F7015"/>
    <w:rsid w:val="005040E6"/>
    <w:rsid w:val="00512A6E"/>
    <w:rsid w:val="00520FCD"/>
    <w:rsid w:val="00522885"/>
    <w:rsid w:val="0052718E"/>
    <w:rsid w:val="00530C4D"/>
    <w:rsid w:val="00535255"/>
    <w:rsid w:val="00535AFA"/>
    <w:rsid w:val="005414BA"/>
    <w:rsid w:val="00547DFC"/>
    <w:rsid w:val="00550B8C"/>
    <w:rsid w:val="00550DFC"/>
    <w:rsid w:val="00572B85"/>
    <w:rsid w:val="005775E8"/>
    <w:rsid w:val="00577C88"/>
    <w:rsid w:val="005809E7"/>
    <w:rsid w:val="005A1408"/>
    <w:rsid w:val="005A2E67"/>
    <w:rsid w:val="005A447C"/>
    <w:rsid w:val="005A7709"/>
    <w:rsid w:val="005A77BD"/>
    <w:rsid w:val="005B0160"/>
    <w:rsid w:val="005B399A"/>
    <w:rsid w:val="005B5192"/>
    <w:rsid w:val="005C38D8"/>
    <w:rsid w:val="005C3CFF"/>
    <w:rsid w:val="005C57D2"/>
    <w:rsid w:val="005C7216"/>
    <w:rsid w:val="005D3317"/>
    <w:rsid w:val="005D7515"/>
    <w:rsid w:val="005E0AFE"/>
    <w:rsid w:val="005E0F8E"/>
    <w:rsid w:val="005E2064"/>
    <w:rsid w:val="005E7031"/>
    <w:rsid w:val="005F6853"/>
    <w:rsid w:val="00610551"/>
    <w:rsid w:val="00610C63"/>
    <w:rsid w:val="00614629"/>
    <w:rsid w:val="00621B86"/>
    <w:rsid w:val="006223CC"/>
    <w:rsid w:val="00622C88"/>
    <w:rsid w:val="00631645"/>
    <w:rsid w:val="00632FBC"/>
    <w:rsid w:val="00633C75"/>
    <w:rsid w:val="00637F68"/>
    <w:rsid w:val="00645DF0"/>
    <w:rsid w:val="006461BA"/>
    <w:rsid w:val="0065222C"/>
    <w:rsid w:val="006533F6"/>
    <w:rsid w:val="006548FC"/>
    <w:rsid w:val="00662F36"/>
    <w:rsid w:val="006634EE"/>
    <w:rsid w:val="00665456"/>
    <w:rsid w:val="00665A16"/>
    <w:rsid w:val="00667F62"/>
    <w:rsid w:val="00674671"/>
    <w:rsid w:val="00682E5C"/>
    <w:rsid w:val="0068389B"/>
    <w:rsid w:val="00685663"/>
    <w:rsid w:val="0068583F"/>
    <w:rsid w:val="006877FC"/>
    <w:rsid w:val="0069258A"/>
    <w:rsid w:val="00692B5D"/>
    <w:rsid w:val="00694725"/>
    <w:rsid w:val="00694C03"/>
    <w:rsid w:val="006B0FF2"/>
    <w:rsid w:val="006B2CD3"/>
    <w:rsid w:val="006C7912"/>
    <w:rsid w:val="006D11A8"/>
    <w:rsid w:val="006D6019"/>
    <w:rsid w:val="006D64D5"/>
    <w:rsid w:val="006E06AD"/>
    <w:rsid w:val="006E1EEF"/>
    <w:rsid w:val="006E2B4E"/>
    <w:rsid w:val="006E31B3"/>
    <w:rsid w:val="006F176F"/>
    <w:rsid w:val="006F6F98"/>
    <w:rsid w:val="0070175E"/>
    <w:rsid w:val="00703F4E"/>
    <w:rsid w:val="00704326"/>
    <w:rsid w:val="00704F61"/>
    <w:rsid w:val="00717295"/>
    <w:rsid w:val="00735D60"/>
    <w:rsid w:val="00737125"/>
    <w:rsid w:val="00740DB3"/>
    <w:rsid w:val="00751E8A"/>
    <w:rsid w:val="00754A62"/>
    <w:rsid w:val="00761969"/>
    <w:rsid w:val="00762816"/>
    <w:rsid w:val="007715BE"/>
    <w:rsid w:val="007758F9"/>
    <w:rsid w:val="007777FF"/>
    <w:rsid w:val="00777F59"/>
    <w:rsid w:val="00786CB5"/>
    <w:rsid w:val="00787A98"/>
    <w:rsid w:val="00793836"/>
    <w:rsid w:val="007A0568"/>
    <w:rsid w:val="007A67C9"/>
    <w:rsid w:val="007A6EF8"/>
    <w:rsid w:val="007A753F"/>
    <w:rsid w:val="007B13FA"/>
    <w:rsid w:val="007B20D8"/>
    <w:rsid w:val="007B4146"/>
    <w:rsid w:val="007C3AA1"/>
    <w:rsid w:val="007C549D"/>
    <w:rsid w:val="007D12DA"/>
    <w:rsid w:val="007D1CDC"/>
    <w:rsid w:val="007D671C"/>
    <w:rsid w:val="007F17EE"/>
    <w:rsid w:val="007F379B"/>
    <w:rsid w:val="007F52D9"/>
    <w:rsid w:val="00813022"/>
    <w:rsid w:val="00815566"/>
    <w:rsid w:val="00820243"/>
    <w:rsid w:val="00820EB6"/>
    <w:rsid w:val="00827E73"/>
    <w:rsid w:val="008453EB"/>
    <w:rsid w:val="00847970"/>
    <w:rsid w:val="0085343F"/>
    <w:rsid w:val="008568D7"/>
    <w:rsid w:val="00860FA4"/>
    <w:rsid w:val="0086447C"/>
    <w:rsid w:val="0087385E"/>
    <w:rsid w:val="008771C2"/>
    <w:rsid w:val="00893AED"/>
    <w:rsid w:val="008A13DC"/>
    <w:rsid w:val="008B0B8B"/>
    <w:rsid w:val="008B5B33"/>
    <w:rsid w:val="008B6C36"/>
    <w:rsid w:val="008C285D"/>
    <w:rsid w:val="008C2D06"/>
    <w:rsid w:val="008C502A"/>
    <w:rsid w:val="008C7043"/>
    <w:rsid w:val="008D4C8C"/>
    <w:rsid w:val="008D57F7"/>
    <w:rsid w:val="008D6929"/>
    <w:rsid w:val="008D6E9C"/>
    <w:rsid w:val="008F555E"/>
    <w:rsid w:val="008F607D"/>
    <w:rsid w:val="009029D8"/>
    <w:rsid w:val="0090430E"/>
    <w:rsid w:val="00907B81"/>
    <w:rsid w:val="0091007E"/>
    <w:rsid w:val="00911976"/>
    <w:rsid w:val="00914520"/>
    <w:rsid w:val="0091785B"/>
    <w:rsid w:val="0092267B"/>
    <w:rsid w:val="009239E8"/>
    <w:rsid w:val="0093055D"/>
    <w:rsid w:val="0093645F"/>
    <w:rsid w:val="00953369"/>
    <w:rsid w:val="0096006B"/>
    <w:rsid w:val="0096139C"/>
    <w:rsid w:val="009639D8"/>
    <w:rsid w:val="009665B2"/>
    <w:rsid w:val="009670D2"/>
    <w:rsid w:val="0097027F"/>
    <w:rsid w:val="0097177F"/>
    <w:rsid w:val="009729E0"/>
    <w:rsid w:val="00981027"/>
    <w:rsid w:val="0098341E"/>
    <w:rsid w:val="00985F96"/>
    <w:rsid w:val="00994115"/>
    <w:rsid w:val="0099787E"/>
    <w:rsid w:val="009A0CE5"/>
    <w:rsid w:val="009A40E3"/>
    <w:rsid w:val="009A44EA"/>
    <w:rsid w:val="009A7A66"/>
    <w:rsid w:val="009A7E5F"/>
    <w:rsid w:val="009C00C4"/>
    <w:rsid w:val="009C1A76"/>
    <w:rsid w:val="009D2F8A"/>
    <w:rsid w:val="009D44E7"/>
    <w:rsid w:val="009D69C7"/>
    <w:rsid w:val="009E0C91"/>
    <w:rsid w:val="009E0EDA"/>
    <w:rsid w:val="009E345F"/>
    <w:rsid w:val="009E3BC9"/>
    <w:rsid w:val="009F08B7"/>
    <w:rsid w:val="009F117D"/>
    <w:rsid w:val="009F1E28"/>
    <w:rsid w:val="009F4509"/>
    <w:rsid w:val="00A03933"/>
    <w:rsid w:val="00A059EB"/>
    <w:rsid w:val="00A06A5E"/>
    <w:rsid w:val="00A1244F"/>
    <w:rsid w:val="00A208D5"/>
    <w:rsid w:val="00A20DD2"/>
    <w:rsid w:val="00A23642"/>
    <w:rsid w:val="00A25554"/>
    <w:rsid w:val="00A279A4"/>
    <w:rsid w:val="00A27B87"/>
    <w:rsid w:val="00A36352"/>
    <w:rsid w:val="00A44BD8"/>
    <w:rsid w:val="00A470B7"/>
    <w:rsid w:val="00A47158"/>
    <w:rsid w:val="00A507F1"/>
    <w:rsid w:val="00A51D1C"/>
    <w:rsid w:val="00A5210A"/>
    <w:rsid w:val="00A65E8A"/>
    <w:rsid w:val="00A71D48"/>
    <w:rsid w:val="00A860FC"/>
    <w:rsid w:val="00A910BC"/>
    <w:rsid w:val="00A93E0F"/>
    <w:rsid w:val="00A93FBC"/>
    <w:rsid w:val="00A963E1"/>
    <w:rsid w:val="00A979C4"/>
    <w:rsid w:val="00AA69BA"/>
    <w:rsid w:val="00AA7129"/>
    <w:rsid w:val="00AC5A78"/>
    <w:rsid w:val="00AC6126"/>
    <w:rsid w:val="00AC67AF"/>
    <w:rsid w:val="00AD2938"/>
    <w:rsid w:val="00AD541A"/>
    <w:rsid w:val="00AE593E"/>
    <w:rsid w:val="00AE697A"/>
    <w:rsid w:val="00AE7C77"/>
    <w:rsid w:val="00AF5462"/>
    <w:rsid w:val="00AF6859"/>
    <w:rsid w:val="00AF6C56"/>
    <w:rsid w:val="00B2058A"/>
    <w:rsid w:val="00B2302F"/>
    <w:rsid w:val="00B23BF4"/>
    <w:rsid w:val="00B33CA0"/>
    <w:rsid w:val="00B460D5"/>
    <w:rsid w:val="00B50127"/>
    <w:rsid w:val="00B55C2D"/>
    <w:rsid w:val="00B560E6"/>
    <w:rsid w:val="00B56AB2"/>
    <w:rsid w:val="00B604B5"/>
    <w:rsid w:val="00B6253E"/>
    <w:rsid w:val="00B641E2"/>
    <w:rsid w:val="00B64FCC"/>
    <w:rsid w:val="00B67A0C"/>
    <w:rsid w:val="00B7020F"/>
    <w:rsid w:val="00B75A20"/>
    <w:rsid w:val="00B82D63"/>
    <w:rsid w:val="00B838BE"/>
    <w:rsid w:val="00B858E5"/>
    <w:rsid w:val="00B86ED1"/>
    <w:rsid w:val="00B8703B"/>
    <w:rsid w:val="00B87EAF"/>
    <w:rsid w:val="00B95EF6"/>
    <w:rsid w:val="00BA1F2F"/>
    <w:rsid w:val="00BA6007"/>
    <w:rsid w:val="00BA6537"/>
    <w:rsid w:val="00BB3F03"/>
    <w:rsid w:val="00BB4654"/>
    <w:rsid w:val="00BB76B0"/>
    <w:rsid w:val="00BB7D2F"/>
    <w:rsid w:val="00BD165B"/>
    <w:rsid w:val="00BD410B"/>
    <w:rsid w:val="00BD4282"/>
    <w:rsid w:val="00BD538F"/>
    <w:rsid w:val="00BD6FA9"/>
    <w:rsid w:val="00BE2EB1"/>
    <w:rsid w:val="00BE6B57"/>
    <w:rsid w:val="00BF06FB"/>
    <w:rsid w:val="00BF59E7"/>
    <w:rsid w:val="00BF5B82"/>
    <w:rsid w:val="00BF5D35"/>
    <w:rsid w:val="00BF7DAF"/>
    <w:rsid w:val="00C00E59"/>
    <w:rsid w:val="00C11AE9"/>
    <w:rsid w:val="00C22AFA"/>
    <w:rsid w:val="00C30FEC"/>
    <w:rsid w:val="00C31FF8"/>
    <w:rsid w:val="00C36B6C"/>
    <w:rsid w:val="00C4279E"/>
    <w:rsid w:val="00C46A6B"/>
    <w:rsid w:val="00C47E44"/>
    <w:rsid w:val="00C47E71"/>
    <w:rsid w:val="00C54AA4"/>
    <w:rsid w:val="00C616AF"/>
    <w:rsid w:val="00C640C3"/>
    <w:rsid w:val="00C70FFD"/>
    <w:rsid w:val="00C71305"/>
    <w:rsid w:val="00C71DF6"/>
    <w:rsid w:val="00C77090"/>
    <w:rsid w:val="00C7777E"/>
    <w:rsid w:val="00C84766"/>
    <w:rsid w:val="00C90C35"/>
    <w:rsid w:val="00C9724D"/>
    <w:rsid w:val="00CA7329"/>
    <w:rsid w:val="00CC5B50"/>
    <w:rsid w:val="00CC7587"/>
    <w:rsid w:val="00CD0EC8"/>
    <w:rsid w:val="00CD2127"/>
    <w:rsid w:val="00CD2728"/>
    <w:rsid w:val="00CE3A5B"/>
    <w:rsid w:val="00CE7140"/>
    <w:rsid w:val="00CF0E03"/>
    <w:rsid w:val="00CF200E"/>
    <w:rsid w:val="00CF3E84"/>
    <w:rsid w:val="00CF5880"/>
    <w:rsid w:val="00CF7375"/>
    <w:rsid w:val="00D056A1"/>
    <w:rsid w:val="00D077F6"/>
    <w:rsid w:val="00D17BC1"/>
    <w:rsid w:val="00D206BB"/>
    <w:rsid w:val="00D212AB"/>
    <w:rsid w:val="00D236AA"/>
    <w:rsid w:val="00D236B5"/>
    <w:rsid w:val="00D256A7"/>
    <w:rsid w:val="00D272A5"/>
    <w:rsid w:val="00D364E3"/>
    <w:rsid w:val="00D41996"/>
    <w:rsid w:val="00D42CC6"/>
    <w:rsid w:val="00D42F1F"/>
    <w:rsid w:val="00D57959"/>
    <w:rsid w:val="00D60A15"/>
    <w:rsid w:val="00D631DC"/>
    <w:rsid w:val="00D64AEE"/>
    <w:rsid w:val="00D716AF"/>
    <w:rsid w:val="00D719B0"/>
    <w:rsid w:val="00D754BA"/>
    <w:rsid w:val="00D85B88"/>
    <w:rsid w:val="00D877A4"/>
    <w:rsid w:val="00D903DC"/>
    <w:rsid w:val="00D90B75"/>
    <w:rsid w:val="00D95918"/>
    <w:rsid w:val="00D97CFA"/>
    <w:rsid w:val="00DA028B"/>
    <w:rsid w:val="00DA048C"/>
    <w:rsid w:val="00DA4DCC"/>
    <w:rsid w:val="00DA54A3"/>
    <w:rsid w:val="00DB0E5C"/>
    <w:rsid w:val="00DC2A61"/>
    <w:rsid w:val="00DC328B"/>
    <w:rsid w:val="00DD147F"/>
    <w:rsid w:val="00DE11F5"/>
    <w:rsid w:val="00DE43EB"/>
    <w:rsid w:val="00DE5A73"/>
    <w:rsid w:val="00DE7E3B"/>
    <w:rsid w:val="00DF321B"/>
    <w:rsid w:val="00DF42D9"/>
    <w:rsid w:val="00E07610"/>
    <w:rsid w:val="00E07B51"/>
    <w:rsid w:val="00E11969"/>
    <w:rsid w:val="00E13DFA"/>
    <w:rsid w:val="00E1712A"/>
    <w:rsid w:val="00E22AF4"/>
    <w:rsid w:val="00E24DDA"/>
    <w:rsid w:val="00E2772D"/>
    <w:rsid w:val="00E3237A"/>
    <w:rsid w:val="00E340E7"/>
    <w:rsid w:val="00E34D49"/>
    <w:rsid w:val="00E36CCC"/>
    <w:rsid w:val="00E40E61"/>
    <w:rsid w:val="00E451FA"/>
    <w:rsid w:val="00E70660"/>
    <w:rsid w:val="00E747DE"/>
    <w:rsid w:val="00E75099"/>
    <w:rsid w:val="00E76C3A"/>
    <w:rsid w:val="00E770C9"/>
    <w:rsid w:val="00E8209F"/>
    <w:rsid w:val="00E82454"/>
    <w:rsid w:val="00E85ADA"/>
    <w:rsid w:val="00E91B0D"/>
    <w:rsid w:val="00E92027"/>
    <w:rsid w:val="00E96D95"/>
    <w:rsid w:val="00E9705B"/>
    <w:rsid w:val="00EA2278"/>
    <w:rsid w:val="00EB5351"/>
    <w:rsid w:val="00EB5580"/>
    <w:rsid w:val="00EC4764"/>
    <w:rsid w:val="00EC6EC8"/>
    <w:rsid w:val="00ED251A"/>
    <w:rsid w:val="00ED4CAC"/>
    <w:rsid w:val="00ED675E"/>
    <w:rsid w:val="00EE22F4"/>
    <w:rsid w:val="00EE6931"/>
    <w:rsid w:val="00F11871"/>
    <w:rsid w:val="00F12905"/>
    <w:rsid w:val="00F14A8F"/>
    <w:rsid w:val="00F209F3"/>
    <w:rsid w:val="00F217A8"/>
    <w:rsid w:val="00F249F8"/>
    <w:rsid w:val="00F40E2D"/>
    <w:rsid w:val="00F439BE"/>
    <w:rsid w:val="00F44069"/>
    <w:rsid w:val="00F47395"/>
    <w:rsid w:val="00F514E0"/>
    <w:rsid w:val="00F51C59"/>
    <w:rsid w:val="00F535E1"/>
    <w:rsid w:val="00F560BF"/>
    <w:rsid w:val="00F64115"/>
    <w:rsid w:val="00F70294"/>
    <w:rsid w:val="00F728A6"/>
    <w:rsid w:val="00F86D71"/>
    <w:rsid w:val="00F8789F"/>
    <w:rsid w:val="00F90EE1"/>
    <w:rsid w:val="00F93811"/>
    <w:rsid w:val="00F9526D"/>
    <w:rsid w:val="00FA1A2A"/>
    <w:rsid w:val="00FA20FE"/>
    <w:rsid w:val="00FB0585"/>
    <w:rsid w:val="00FB41C6"/>
    <w:rsid w:val="00FB45E6"/>
    <w:rsid w:val="00FB4E96"/>
    <w:rsid w:val="00FB58D2"/>
    <w:rsid w:val="00FC4DD7"/>
    <w:rsid w:val="00FD4087"/>
    <w:rsid w:val="00FD6916"/>
    <w:rsid w:val="00FD69B3"/>
    <w:rsid w:val="00FE11D4"/>
    <w:rsid w:val="00FE49DE"/>
    <w:rsid w:val="00FE51AD"/>
    <w:rsid w:val="00FE5286"/>
    <w:rsid w:val="00FF1143"/>
    <w:rsid w:val="00FF2A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CFBEF"/>
  <w15:docId w15:val="{C4723C55-ACA4-714E-A879-497144DF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01E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01E3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7E5F"/>
    <w:rPr>
      <w:color w:val="605E5C"/>
      <w:shd w:val="clear" w:color="auto" w:fill="E1DFDD"/>
    </w:rPr>
  </w:style>
  <w:style w:type="character" w:styleId="BesuchterLink">
    <w:name w:val="FollowedHyperlink"/>
    <w:basedOn w:val="Absatz-Standardschriftart"/>
    <w:uiPriority w:val="99"/>
    <w:semiHidden/>
    <w:unhideWhenUsed/>
    <w:rsid w:val="009A7E5F"/>
    <w:rPr>
      <w:color w:val="800080" w:themeColor="followedHyperlink"/>
      <w:u w:val="single"/>
    </w:rPr>
  </w:style>
  <w:style w:type="character" w:styleId="Kommentarzeichen">
    <w:name w:val="annotation reference"/>
    <w:basedOn w:val="Absatz-Standardschriftart"/>
    <w:uiPriority w:val="99"/>
    <w:semiHidden/>
    <w:unhideWhenUsed/>
    <w:rsid w:val="00F8789F"/>
    <w:rPr>
      <w:sz w:val="16"/>
      <w:szCs w:val="16"/>
    </w:rPr>
  </w:style>
  <w:style w:type="paragraph" w:styleId="Kommentartext">
    <w:name w:val="annotation text"/>
    <w:basedOn w:val="Standard"/>
    <w:link w:val="KommentartextZchn"/>
    <w:uiPriority w:val="99"/>
    <w:semiHidden/>
    <w:unhideWhenUsed/>
    <w:rsid w:val="00F878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789F"/>
    <w:rPr>
      <w:sz w:val="20"/>
      <w:szCs w:val="20"/>
    </w:rPr>
  </w:style>
  <w:style w:type="paragraph" w:styleId="Kommentarthema">
    <w:name w:val="annotation subject"/>
    <w:basedOn w:val="Kommentartext"/>
    <w:next w:val="Kommentartext"/>
    <w:link w:val="KommentarthemaZchn"/>
    <w:uiPriority w:val="99"/>
    <w:semiHidden/>
    <w:unhideWhenUsed/>
    <w:rsid w:val="00F8789F"/>
    <w:rPr>
      <w:b/>
      <w:bCs/>
    </w:rPr>
  </w:style>
  <w:style w:type="character" w:customStyle="1" w:styleId="KommentarthemaZchn">
    <w:name w:val="Kommentarthema Zchn"/>
    <w:basedOn w:val="KommentartextZchn"/>
    <w:link w:val="Kommentarthema"/>
    <w:uiPriority w:val="99"/>
    <w:semiHidden/>
    <w:rsid w:val="00F8789F"/>
    <w:rPr>
      <w:b/>
      <w:bCs/>
      <w:sz w:val="20"/>
      <w:szCs w:val="20"/>
    </w:rPr>
  </w:style>
  <w:style w:type="character" w:styleId="NichtaufgelsteErwhnung">
    <w:name w:val="Unresolved Mention"/>
    <w:basedOn w:val="Absatz-Standardschriftart"/>
    <w:uiPriority w:val="99"/>
    <w:semiHidden/>
    <w:unhideWhenUsed/>
    <w:rsid w:val="00024927"/>
    <w:rPr>
      <w:color w:val="605E5C"/>
      <w:shd w:val="clear" w:color="auto" w:fill="E1DFDD"/>
    </w:rPr>
  </w:style>
  <w:style w:type="paragraph" w:styleId="berarbeitung">
    <w:name w:val="Revision"/>
    <w:hidden/>
    <w:uiPriority w:val="99"/>
    <w:semiHidden/>
    <w:rsid w:val="00AF6C56"/>
    <w:pPr>
      <w:spacing w:after="0" w:line="240" w:lineRule="auto"/>
    </w:pPr>
  </w:style>
  <w:style w:type="paragraph" w:customStyle="1" w:styleId="Default">
    <w:name w:val="Default"/>
    <w:rsid w:val="00C71305"/>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301E3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01E3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01E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ld">
    <w:name w:val="bold"/>
    <w:basedOn w:val="Absatz-Standardschriftart"/>
    <w:rsid w:val="00301E3B"/>
  </w:style>
  <w:style w:type="paragraph" w:styleId="Listenabsatz">
    <w:name w:val="List Paragraph"/>
    <w:basedOn w:val="Standard"/>
    <w:uiPriority w:val="34"/>
    <w:qFormat/>
    <w:rsid w:val="00EE6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34144">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054546773">
      <w:bodyDiv w:val="1"/>
      <w:marLeft w:val="0"/>
      <w:marRight w:val="0"/>
      <w:marTop w:val="0"/>
      <w:marBottom w:val="0"/>
      <w:divBdr>
        <w:top w:val="none" w:sz="0" w:space="0" w:color="auto"/>
        <w:left w:val="none" w:sz="0" w:space="0" w:color="auto"/>
        <w:bottom w:val="none" w:sz="0" w:space="0" w:color="auto"/>
        <w:right w:val="none" w:sz="0" w:space="0" w:color="auto"/>
      </w:divBdr>
      <w:divsChild>
        <w:div w:id="1893734490">
          <w:marLeft w:val="0"/>
          <w:marRight w:val="0"/>
          <w:marTop w:val="0"/>
          <w:marBottom w:val="0"/>
          <w:divBdr>
            <w:top w:val="none" w:sz="0" w:space="0" w:color="auto"/>
            <w:left w:val="none" w:sz="0" w:space="0" w:color="auto"/>
            <w:bottom w:val="none" w:sz="0" w:space="0" w:color="auto"/>
            <w:right w:val="none" w:sz="0" w:space="0" w:color="auto"/>
          </w:divBdr>
          <w:divsChild>
            <w:div w:id="1270818037">
              <w:marLeft w:val="0"/>
              <w:marRight w:val="0"/>
              <w:marTop w:val="0"/>
              <w:marBottom w:val="0"/>
              <w:divBdr>
                <w:top w:val="none" w:sz="0" w:space="0" w:color="auto"/>
                <w:left w:val="none" w:sz="0" w:space="0" w:color="auto"/>
                <w:bottom w:val="none" w:sz="0" w:space="0" w:color="auto"/>
                <w:right w:val="none" w:sz="0" w:space="0" w:color="auto"/>
              </w:divBdr>
            </w:div>
          </w:divsChild>
        </w:div>
        <w:div w:id="578365808">
          <w:marLeft w:val="0"/>
          <w:marRight w:val="0"/>
          <w:marTop w:val="0"/>
          <w:marBottom w:val="0"/>
          <w:divBdr>
            <w:top w:val="none" w:sz="0" w:space="0" w:color="auto"/>
            <w:left w:val="none" w:sz="0" w:space="0" w:color="auto"/>
            <w:bottom w:val="none" w:sz="0" w:space="0" w:color="auto"/>
            <w:right w:val="none" w:sz="0" w:space="0" w:color="auto"/>
          </w:divBdr>
          <w:divsChild>
            <w:div w:id="8776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1736">
      <w:bodyDiv w:val="1"/>
      <w:marLeft w:val="0"/>
      <w:marRight w:val="0"/>
      <w:marTop w:val="0"/>
      <w:marBottom w:val="0"/>
      <w:divBdr>
        <w:top w:val="none" w:sz="0" w:space="0" w:color="auto"/>
        <w:left w:val="none" w:sz="0" w:space="0" w:color="auto"/>
        <w:bottom w:val="none" w:sz="0" w:space="0" w:color="auto"/>
        <w:right w:val="none" w:sz="0" w:space="0" w:color="auto"/>
      </w:divBdr>
    </w:div>
    <w:div w:id="1127162019">
      <w:bodyDiv w:val="1"/>
      <w:marLeft w:val="0"/>
      <w:marRight w:val="0"/>
      <w:marTop w:val="0"/>
      <w:marBottom w:val="0"/>
      <w:divBdr>
        <w:top w:val="none" w:sz="0" w:space="0" w:color="auto"/>
        <w:left w:val="none" w:sz="0" w:space="0" w:color="auto"/>
        <w:bottom w:val="none" w:sz="0" w:space="0" w:color="auto"/>
        <w:right w:val="none" w:sz="0" w:space="0" w:color="auto"/>
      </w:divBdr>
    </w:div>
    <w:div w:id="1184324248">
      <w:bodyDiv w:val="1"/>
      <w:marLeft w:val="0"/>
      <w:marRight w:val="0"/>
      <w:marTop w:val="0"/>
      <w:marBottom w:val="0"/>
      <w:divBdr>
        <w:top w:val="none" w:sz="0" w:space="0" w:color="auto"/>
        <w:left w:val="none" w:sz="0" w:space="0" w:color="auto"/>
        <w:bottom w:val="none" w:sz="0" w:space="0" w:color="auto"/>
        <w:right w:val="none" w:sz="0" w:space="0" w:color="auto"/>
      </w:divBdr>
    </w:div>
    <w:div w:id="1209075840">
      <w:bodyDiv w:val="1"/>
      <w:marLeft w:val="0"/>
      <w:marRight w:val="0"/>
      <w:marTop w:val="0"/>
      <w:marBottom w:val="0"/>
      <w:divBdr>
        <w:top w:val="none" w:sz="0" w:space="0" w:color="auto"/>
        <w:left w:val="none" w:sz="0" w:space="0" w:color="auto"/>
        <w:bottom w:val="none" w:sz="0" w:space="0" w:color="auto"/>
        <w:right w:val="none" w:sz="0" w:space="0" w:color="auto"/>
      </w:divBdr>
    </w:div>
    <w:div w:id="21309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khahn@maip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service@wilkha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F5E8-5F8C-A64E-8C46-A818AA0EE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5651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Mihaela Antonova</cp:lastModifiedBy>
  <cp:revision>3</cp:revision>
  <cp:lastPrinted>2022-09-09T09:13:00Z</cp:lastPrinted>
  <dcterms:created xsi:type="dcterms:W3CDTF">2022-09-09T09:15:00Z</dcterms:created>
  <dcterms:modified xsi:type="dcterms:W3CDTF">2022-09-09T10:37:00Z</dcterms:modified>
  <cp:category/>
</cp:coreProperties>
</file>